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8F9" w:rsidRPr="004C2EE4" w:rsidRDefault="004978F9" w:rsidP="004978F9">
      <w:pPr>
        <w:bidi/>
        <w:spacing w:after="0" w:line="240" w:lineRule="auto"/>
        <w:jc w:val="center"/>
        <w:rPr>
          <w:rFonts w:ascii="Times New Roman" w:eastAsia="Times New Roman" w:hAnsi="Times New Roman" w:cs="Ali_K_Sahifa Bold"/>
          <w:sz w:val="28"/>
          <w:szCs w:val="28"/>
          <w:rtl/>
          <w:lang w:eastAsia="ar-SA"/>
        </w:rPr>
      </w:pPr>
      <w:r w:rsidRPr="004C2EE4">
        <w:rPr>
          <w:rFonts w:ascii="Times New Roman" w:eastAsia="Times New Roman" w:hAnsi="Times New Roman" w:cs="Ali_K_Sahifa Bold"/>
          <w:noProof/>
          <w:sz w:val="28"/>
          <w:szCs w:val="28"/>
          <w:rtl/>
        </w:rPr>
        <w:drawing>
          <wp:inline distT="0" distB="0" distL="0" distR="0" wp14:anchorId="2791C8B1" wp14:editId="1ECCE7A0">
            <wp:extent cx="2953811" cy="847503"/>
            <wp:effectExtent l="19050" t="0" r="0" b="0"/>
            <wp:docPr id="1" name="Picture 1" descr="G:\epu logo new text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pu logo new text final.jpg"/>
                    <pic:cNvPicPr>
                      <a:picLocks noChangeAspect="1" noChangeArrowheads="1"/>
                    </pic:cNvPicPr>
                  </pic:nvPicPr>
                  <pic:blipFill>
                    <a:blip r:embed="rId7" cstate="print"/>
                    <a:srcRect/>
                    <a:stretch>
                      <a:fillRect/>
                    </a:stretch>
                  </pic:blipFill>
                  <pic:spPr bwMode="auto">
                    <a:xfrm>
                      <a:off x="0" y="0"/>
                      <a:ext cx="2965407" cy="850830"/>
                    </a:xfrm>
                    <a:prstGeom prst="rect">
                      <a:avLst/>
                    </a:prstGeom>
                    <a:noFill/>
                    <a:ln w="9525">
                      <a:noFill/>
                      <a:miter lim="800000"/>
                      <a:headEnd/>
                      <a:tailEnd/>
                    </a:ln>
                  </pic:spPr>
                </pic:pic>
              </a:graphicData>
            </a:graphic>
          </wp:inline>
        </w:drawing>
      </w:r>
    </w:p>
    <w:p w:rsidR="004978F9" w:rsidRPr="004C2EE4" w:rsidRDefault="004978F9" w:rsidP="004978F9">
      <w:pPr>
        <w:bidi/>
        <w:spacing w:after="0" w:line="240" w:lineRule="auto"/>
        <w:jc w:val="center"/>
        <w:rPr>
          <w:rFonts w:ascii="Times New Roman" w:eastAsia="Times New Roman" w:hAnsi="Times New Roman" w:cs="Ali_K_Sahifa Bold"/>
          <w:sz w:val="28"/>
          <w:szCs w:val="28"/>
          <w:rtl/>
          <w:lang w:eastAsia="ar-SA"/>
        </w:rPr>
      </w:pPr>
    </w:p>
    <w:p w:rsidR="004978F9" w:rsidRPr="004C2EE4" w:rsidRDefault="004978F9" w:rsidP="004978F9">
      <w:pPr>
        <w:spacing w:after="0" w:line="360" w:lineRule="auto"/>
        <w:ind w:right="180"/>
        <w:jc w:val="center"/>
        <w:rPr>
          <w:rFonts w:ascii="Times New Roman" w:eastAsia="Calibri" w:hAnsi="Times New Roman" w:cs="Times New Roman"/>
          <w:b/>
          <w:bCs/>
          <w:sz w:val="28"/>
          <w:szCs w:val="28"/>
        </w:rPr>
      </w:pPr>
    </w:p>
    <w:p w:rsidR="004978F9" w:rsidRPr="00461E4D" w:rsidRDefault="004978F9" w:rsidP="004978F9">
      <w:pPr>
        <w:bidi/>
        <w:spacing w:after="0" w:line="240" w:lineRule="auto"/>
        <w:ind w:left="-170" w:right="-567"/>
        <w:jc w:val="center"/>
        <w:rPr>
          <w:rFonts w:ascii="Times New Roman" w:eastAsia="Calibri" w:hAnsi="Times New Roman" w:cs="Times New Roman"/>
          <w:b/>
          <w:bCs/>
          <w:sz w:val="40"/>
          <w:szCs w:val="40"/>
        </w:rPr>
      </w:pPr>
      <w:r w:rsidRPr="00461E4D">
        <w:rPr>
          <w:rFonts w:ascii="Times New Roman" w:eastAsia="Calibri" w:hAnsi="Times New Roman" w:cs="Times New Roman"/>
          <w:b/>
          <w:bCs/>
          <w:sz w:val="40"/>
          <w:szCs w:val="40"/>
        </w:rPr>
        <w:t>The role of Biomechanical Alignment on Managing Knee Joint Osteoarthritis</w:t>
      </w:r>
    </w:p>
    <w:p w:rsidR="004978F9" w:rsidRPr="004C2EE4" w:rsidRDefault="004978F9" w:rsidP="004978F9">
      <w:pPr>
        <w:bidi/>
        <w:spacing w:after="0" w:line="240" w:lineRule="auto"/>
        <w:jc w:val="center"/>
        <w:rPr>
          <w:rFonts w:ascii="Times New Roman" w:eastAsia="Calibri" w:hAnsi="Times New Roman" w:cs="Times New Roman"/>
          <w:b/>
          <w:bCs/>
          <w:sz w:val="28"/>
          <w:szCs w:val="28"/>
        </w:rPr>
      </w:pPr>
    </w:p>
    <w:p w:rsidR="004978F9" w:rsidRPr="00461E4D" w:rsidRDefault="004978F9" w:rsidP="004978F9">
      <w:pPr>
        <w:bidi/>
        <w:spacing w:after="0" w:line="240" w:lineRule="auto"/>
        <w:jc w:val="center"/>
        <w:rPr>
          <w:rFonts w:ascii="Times New Roman" w:eastAsia="Times New Roman" w:hAnsi="Times New Roman" w:cs="Ali_K_Sahifa Bold"/>
          <w:sz w:val="36"/>
          <w:szCs w:val="36"/>
          <w:rtl/>
          <w:lang w:eastAsia="ar-SA"/>
        </w:rPr>
      </w:pPr>
    </w:p>
    <w:p w:rsidR="004978F9" w:rsidRPr="00461E4D" w:rsidRDefault="004978F9" w:rsidP="004978F9">
      <w:pPr>
        <w:bidi/>
        <w:spacing w:after="0" w:line="360" w:lineRule="auto"/>
        <w:jc w:val="center"/>
        <w:rPr>
          <w:rFonts w:ascii="Times New Roman" w:eastAsia="Times New Roman" w:hAnsi="Times New Roman" w:cs="Times New Roman"/>
          <w:sz w:val="36"/>
          <w:szCs w:val="36"/>
          <w:lang w:eastAsia="ar-SA"/>
        </w:rPr>
      </w:pPr>
      <w:r w:rsidRPr="00461E4D">
        <w:rPr>
          <w:rFonts w:ascii="Times New Roman" w:eastAsia="Times New Roman" w:hAnsi="Times New Roman" w:cs="Times New Roman"/>
          <w:sz w:val="36"/>
          <w:szCs w:val="36"/>
          <w:lang w:eastAsia="ar-SA"/>
        </w:rPr>
        <w:t xml:space="preserve">A Thesis </w:t>
      </w:r>
    </w:p>
    <w:p w:rsidR="004978F9" w:rsidRPr="00461E4D" w:rsidRDefault="004978F9" w:rsidP="004978F9">
      <w:pPr>
        <w:bidi/>
        <w:spacing w:after="0" w:line="360" w:lineRule="auto"/>
        <w:jc w:val="center"/>
        <w:rPr>
          <w:rFonts w:ascii="Times New Roman" w:eastAsia="Times New Roman" w:hAnsi="Times New Roman" w:cs="Times New Roman"/>
          <w:sz w:val="36"/>
          <w:szCs w:val="36"/>
          <w:lang w:eastAsia="ar-SA"/>
        </w:rPr>
      </w:pPr>
      <w:r w:rsidRPr="00461E4D">
        <w:rPr>
          <w:rFonts w:ascii="Times New Roman" w:eastAsia="Times New Roman" w:hAnsi="Times New Roman" w:cs="Times New Roman"/>
          <w:sz w:val="36"/>
          <w:szCs w:val="36"/>
          <w:lang w:eastAsia="ar-SA"/>
        </w:rPr>
        <w:t xml:space="preserve"> Submitted to the Council of the Erbil Health and Medical Technical College in Partial Fulfillment of the Requirements for the Master’s Degree in Physiotherapy</w:t>
      </w:r>
    </w:p>
    <w:p w:rsidR="004978F9" w:rsidRPr="004C2EE4" w:rsidRDefault="004978F9" w:rsidP="004978F9">
      <w:pPr>
        <w:bidi/>
        <w:spacing w:after="0" w:line="240" w:lineRule="auto"/>
        <w:jc w:val="center"/>
        <w:rPr>
          <w:rFonts w:ascii="Times New Roman" w:eastAsia="Times New Roman" w:hAnsi="Times New Roman" w:cs="Ali_K_Sahifa Bold"/>
          <w:sz w:val="28"/>
          <w:szCs w:val="28"/>
          <w:rtl/>
          <w:lang w:eastAsia="ar-SA" w:bidi="ar-IQ"/>
        </w:rPr>
      </w:pPr>
    </w:p>
    <w:p w:rsidR="004978F9" w:rsidRPr="00461E4D" w:rsidRDefault="004978F9" w:rsidP="004978F9">
      <w:pPr>
        <w:bidi/>
        <w:spacing w:after="0" w:line="360" w:lineRule="auto"/>
        <w:jc w:val="center"/>
        <w:rPr>
          <w:rFonts w:ascii="Times New Roman" w:eastAsia="Times New Roman" w:hAnsi="Times New Roman" w:cs="Ali_K_Sahifa Bold"/>
          <w:sz w:val="32"/>
          <w:szCs w:val="32"/>
          <w:rtl/>
          <w:lang w:eastAsia="ar-SA"/>
        </w:rPr>
      </w:pPr>
    </w:p>
    <w:p w:rsidR="004978F9" w:rsidRPr="00461E4D" w:rsidRDefault="004978F9" w:rsidP="004978F9">
      <w:pPr>
        <w:bidi/>
        <w:spacing w:after="0" w:line="360" w:lineRule="auto"/>
        <w:jc w:val="center"/>
        <w:rPr>
          <w:rFonts w:ascii="Times New Roman" w:eastAsia="Times New Roman" w:hAnsi="Times New Roman" w:cs="Ali_K_Sahifa Bold"/>
          <w:sz w:val="32"/>
          <w:szCs w:val="32"/>
          <w:lang w:eastAsia="ar-SA" w:bidi="ar-IQ"/>
        </w:rPr>
      </w:pPr>
      <w:r w:rsidRPr="00461E4D">
        <w:rPr>
          <w:rFonts w:ascii="Times New Roman" w:eastAsia="Times New Roman" w:hAnsi="Times New Roman" w:cs="Ali_K_Sahifa Bold"/>
          <w:sz w:val="32"/>
          <w:szCs w:val="32"/>
          <w:lang w:eastAsia="ar-SA" w:bidi="ar-IQ"/>
        </w:rPr>
        <w:t>By</w:t>
      </w:r>
    </w:p>
    <w:p w:rsidR="004978F9" w:rsidRPr="00461E4D" w:rsidRDefault="004978F9" w:rsidP="004978F9">
      <w:pPr>
        <w:bidi/>
        <w:spacing w:after="0" w:line="360" w:lineRule="auto"/>
        <w:jc w:val="center"/>
        <w:rPr>
          <w:rFonts w:ascii="Times New Roman" w:eastAsia="Times New Roman" w:hAnsi="Times New Roman" w:cs="Ali_K_Sahifa Bold"/>
          <w:b/>
          <w:bCs/>
          <w:sz w:val="32"/>
          <w:szCs w:val="32"/>
          <w:lang w:eastAsia="ar-SA" w:bidi="ar-IQ"/>
        </w:rPr>
      </w:pPr>
      <w:r w:rsidRPr="00461E4D">
        <w:rPr>
          <w:rFonts w:ascii="Times New Roman" w:eastAsia="Times New Roman" w:hAnsi="Times New Roman" w:cs="Ali_K_Sahifa Bold"/>
          <w:b/>
          <w:bCs/>
          <w:sz w:val="32"/>
          <w:szCs w:val="32"/>
          <w:lang w:eastAsia="ar-SA" w:bidi="ar-IQ"/>
        </w:rPr>
        <w:t>Muhammed Jalil Omer</w:t>
      </w:r>
    </w:p>
    <w:p w:rsidR="004978F9" w:rsidRPr="00461E4D" w:rsidRDefault="004978F9" w:rsidP="004978F9">
      <w:pPr>
        <w:bidi/>
        <w:spacing w:after="0" w:line="240" w:lineRule="auto"/>
        <w:jc w:val="center"/>
        <w:rPr>
          <w:rFonts w:ascii="Times New Roman" w:eastAsia="Times New Roman" w:hAnsi="Times New Roman" w:cs="Ali_K_Sahifa Bold"/>
          <w:sz w:val="32"/>
          <w:szCs w:val="32"/>
          <w:lang w:eastAsia="ar-SA" w:bidi="ar-IQ"/>
        </w:rPr>
      </w:pPr>
      <w:r w:rsidRPr="00461E4D">
        <w:rPr>
          <w:rFonts w:ascii="Times New Roman" w:eastAsia="Times New Roman" w:hAnsi="Times New Roman" w:cs="Ali_K_Sahifa Bold"/>
          <w:sz w:val="32"/>
          <w:szCs w:val="32"/>
          <w:lang w:eastAsia="ar-SA" w:bidi="ar-IQ"/>
        </w:rPr>
        <w:t>B.Sc. in Physiotherapy, Erbil Health and Medical Technical College</w:t>
      </w:r>
    </w:p>
    <w:p w:rsidR="004978F9" w:rsidRPr="00461E4D" w:rsidRDefault="004978F9" w:rsidP="004978F9">
      <w:pPr>
        <w:bidi/>
        <w:spacing w:after="0" w:line="240" w:lineRule="auto"/>
        <w:rPr>
          <w:rFonts w:ascii="Times New Roman" w:eastAsia="Times New Roman" w:hAnsi="Times New Roman" w:cs="Ali_K_Sahifa Bold"/>
          <w:sz w:val="32"/>
          <w:szCs w:val="32"/>
          <w:rtl/>
          <w:lang w:eastAsia="ar-SA" w:bidi="ar-IQ"/>
        </w:rPr>
      </w:pPr>
    </w:p>
    <w:p w:rsidR="004978F9" w:rsidRPr="00461E4D" w:rsidRDefault="004978F9" w:rsidP="004978F9">
      <w:pPr>
        <w:bidi/>
        <w:spacing w:after="0" w:line="240" w:lineRule="auto"/>
        <w:rPr>
          <w:rFonts w:ascii="Times New Roman" w:eastAsia="Times New Roman" w:hAnsi="Times New Roman" w:cs="Ali_K_Sahifa Bold"/>
          <w:sz w:val="32"/>
          <w:szCs w:val="32"/>
          <w:rtl/>
          <w:lang w:eastAsia="ar-SA"/>
        </w:rPr>
      </w:pPr>
    </w:p>
    <w:p w:rsidR="004978F9" w:rsidRPr="00461E4D" w:rsidRDefault="004978F9" w:rsidP="004978F9">
      <w:pPr>
        <w:bidi/>
        <w:spacing w:after="0" w:line="360" w:lineRule="auto"/>
        <w:jc w:val="center"/>
        <w:rPr>
          <w:rFonts w:ascii="Times New Roman" w:eastAsia="Times New Roman" w:hAnsi="Times New Roman" w:cs="Ali_K_Sahifa Bold"/>
          <w:b/>
          <w:bCs/>
          <w:sz w:val="32"/>
          <w:szCs w:val="32"/>
          <w:lang w:eastAsia="ar-SA" w:bidi="ar-IQ"/>
        </w:rPr>
      </w:pPr>
      <w:r w:rsidRPr="00461E4D">
        <w:rPr>
          <w:rFonts w:ascii="Times New Roman" w:eastAsia="Times New Roman" w:hAnsi="Times New Roman" w:cs="Ali_K_Sahifa Bold"/>
          <w:sz w:val="32"/>
          <w:szCs w:val="32"/>
          <w:lang w:eastAsia="ar-SA" w:bidi="ar-IQ"/>
        </w:rPr>
        <w:t>Supervised by</w:t>
      </w:r>
    </w:p>
    <w:p w:rsidR="004978F9" w:rsidRPr="00461E4D" w:rsidRDefault="004978F9" w:rsidP="004978F9">
      <w:pPr>
        <w:spacing w:after="0" w:line="360" w:lineRule="auto"/>
        <w:rPr>
          <w:rFonts w:ascii="Times New Roman" w:eastAsia="Times New Roman" w:hAnsi="Times New Roman" w:cs="Ali_K_Sahifa Bold"/>
          <w:b/>
          <w:bCs/>
          <w:sz w:val="32"/>
          <w:szCs w:val="32"/>
          <w:lang w:eastAsia="ar-SA" w:bidi="ar-IQ"/>
        </w:rPr>
      </w:pPr>
      <w:r w:rsidRPr="00461E4D">
        <w:rPr>
          <w:rFonts w:ascii="Times New Roman" w:eastAsia="Times New Roman" w:hAnsi="Times New Roman" w:cs="Ali_K_Sahifa Bold"/>
          <w:b/>
          <w:bCs/>
          <w:sz w:val="32"/>
          <w:szCs w:val="32"/>
          <w:lang w:eastAsia="ar-SA" w:bidi="ar-IQ"/>
        </w:rPr>
        <w:t xml:space="preserve">                            Assist. Prof. Ghassan Husni Ali</w:t>
      </w:r>
    </w:p>
    <w:p w:rsidR="004978F9" w:rsidRPr="00461E4D" w:rsidRDefault="004978F9" w:rsidP="004978F9">
      <w:pPr>
        <w:spacing w:after="0" w:line="360" w:lineRule="auto"/>
        <w:rPr>
          <w:rFonts w:ascii="Times New Roman" w:eastAsia="Times New Roman" w:hAnsi="Times New Roman" w:cs="Ali_K_Sahifa Bold"/>
          <w:sz w:val="32"/>
          <w:szCs w:val="32"/>
          <w:lang w:eastAsia="ar-SA" w:bidi="ar-IQ"/>
        </w:rPr>
      </w:pPr>
      <w:r w:rsidRPr="00461E4D">
        <w:rPr>
          <w:rFonts w:ascii="Times New Roman" w:eastAsia="Times New Roman" w:hAnsi="Times New Roman" w:cs="Ali_K_Sahifa Bold"/>
          <w:sz w:val="32"/>
          <w:szCs w:val="32"/>
          <w:lang w:eastAsia="ar-SA" w:bidi="ar-IQ"/>
        </w:rPr>
        <w:t xml:space="preserve">         </w:t>
      </w:r>
      <w:r>
        <w:rPr>
          <w:rFonts w:ascii="Times New Roman" w:eastAsia="Times New Roman" w:hAnsi="Times New Roman" w:cs="Ali_K_Sahifa Bold"/>
          <w:sz w:val="32"/>
          <w:szCs w:val="32"/>
          <w:lang w:eastAsia="ar-SA" w:bidi="ar-IQ"/>
        </w:rPr>
        <w:t xml:space="preserve">            </w:t>
      </w:r>
      <w:r w:rsidRPr="00461E4D">
        <w:rPr>
          <w:rFonts w:ascii="Times New Roman" w:eastAsia="Times New Roman" w:hAnsi="Times New Roman" w:cs="Ali_K_Sahifa Bold"/>
          <w:sz w:val="32"/>
          <w:szCs w:val="32"/>
          <w:lang w:eastAsia="ar-SA" w:bidi="ar-IQ"/>
        </w:rPr>
        <w:t xml:space="preserve"> Erbil Health and Medical Technical College</w:t>
      </w:r>
    </w:p>
    <w:p w:rsidR="004978F9" w:rsidRDefault="004978F9" w:rsidP="004978F9">
      <w:pPr>
        <w:spacing w:after="0" w:line="360" w:lineRule="auto"/>
        <w:rPr>
          <w:rFonts w:ascii="Times New Roman" w:eastAsia="Times New Roman" w:hAnsi="Times New Roman" w:cs="Ali_K_Sahifa Bold"/>
          <w:sz w:val="28"/>
          <w:szCs w:val="28"/>
          <w:lang w:eastAsia="ar-SA" w:bidi="ar-IQ"/>
        </w:rPr>
      </w:pPr>
    </w:p>
    <w:p w:rsidR="004978F9" w:rsidRPr="004C2EE4" w:rsidRDefault="004978F9" w:rsidP="004978F9">
      <w:pPr>
        <w:spacing w:after="0" w:line="360" w:lineRule="auto"/>
        <w:rPr>
          <w:rFonts w:ascii="Times New Roman" w:eastAsia="Times New Roman" w:hAnsi="Times New Roman" w:cs="Ali_K_Sahifa Bold"/>
          <w:sz w:val="28"/>
          <w:szCs w:val="28"/>
          <w:rtl/>
          <w:lang w:eastAsia="ar-SA"/>
        </w:rPr>
      </w:pPr>
    </w:p>
    <w:p w:rsidR="004978F9" w:rsidRDefault="004978F9" w:rsidP="004978F9">
      <w:pPr>
        <w:bidi/>
        <w:spacing w:after="0" w:line="240" w:lineRule="auto"/>
        <w:jc w:val="center"/>
        <w:rPr>
          <w:rFonts w:ascii="Times New Roman" w:eastAsia="Times New Roman" w:hAnsi="Times New Roman" w:cs="Ali_K_Sahifa Bold"/>
          <w:sz w:val="28"/>
          <w:szCs w:val="28"/>
          <w:lang w:eastAsia="ar-SA" w:bidi="ar-IQ"/>
        </w:rPr>
      </w:pPr>
    </w:p>
    <w:p w:rsidR="004978F9" w:rsidRDefault="004978F9" w:rsidP="004978F9">
      <w:pPr>
        <w:bidi/>
        <w:spacing w:after="0" w:line="240" w:lineRule="auto"/>
        <w:jc w:val="center"/>
        <w:rPr>
          <w:rFonts w:ascii="Times New Roman" w:eastAsia="Times New Roman" w:hAnsi="Times New Roman" w:cs="Ali_K_Sahifa Bold"/>
          <w:sz w:val="28"/>
          <w:szCs w:val="28"/>
          <w:lang w:eastAsia="ar-SA" w:bidi="ar-IQ"/>
        </w:rPr>
      </w:pPr>
      <w:r>
        <w:rPr>
          <w:rFonts w:ascii="Times New Roman" w:eastAsia="Times New Roman" w:hAnsi="Times New Roman" w:cs="Ali_K_Sahifa Bold"/>
          <w:sz w:val="28"/>
          <w:szCs w:val="28"/>
          <w:lang w:eastAsia="ar-SA" w:bidi="ar-IQ"/>
        </w:rPr>
        <w:t>Nov 2023</w:t>
      </w:r>
    </w:p>
    <w:p w:rsidR="004978F9" w:rsidRDefault="004978F9" w:rsidP="004978F9">
      <w:pPr>
        <w:bidi/>
        <w:spacing w:after="0" w:line="240" w:lineRule="auto"/>
        <w:jc w:val="center"/>
        <w:rPr>
          <w:rFonts w:ascii="Times New Roman" w:eastAsia="Times New Roman" w:hAnsi="Times New Roman" w:cs="Ali_K_Sahifa Bold"/>
          <w:sz w:val="28"/>
          <w:szCs w:val="28"/>
          <w:lang w:eastAsia="ar-SA" w:bidi="ar-IQ"/>
        </w:rPr>
      </w:pPr>
    </w:p>
    <w:p w:rsidR="004978F9" w:rsidRDefault="004978F9" w:rsidP="004978F9">
      <w:pPr>
        <w:bidi/>
        <w:spacing w:after="0" w:line="240" w:lineRule="auto"/>
        <w:rPr>
          <w:rFonts w:ascii="Times New Roman" w:eastAsia="Times New Roman" w:hAnsi="Times New Roman" w:cs="Ali_K_Sahifa Bold"/>
          <w:sz w:val="28"/>
          <w:szCs w:val="28"/>
          <w:lang w:eastAsia="ar-SA" w:bidi="ar-IQ"/>
        </w:rPr>
      </w:pPr>
    </w:p>
    <w:p w:rsidR="004978F9" w:rsidRPr="004C2EE4" w:rsidRDefault="004978F9" w:rsidP="004978F9">
      <w:pPr>
        <w:bidi/>
        <w:spacing w:after="0" w:line="240" w:lineRule="auto"/>
        <w:rPr>
          <w:rFonts w:ascii="Times New Roman" w:eastAsia="Times New Roman" w:hAnsi="Times New Roman" w:cs="Ali_K_Sahifa Bold"/>
          <w:sz w:val="28"/>
          <w:szCs w:val="28"/>
          <w:lang w:eastAsia="ar-SA" w:bidi="ar-IQ"/>
        </w:rPr>
      </w:pPr>
    </w:p>
    <w:p w:rsidR="004978F9" w:rsidRPr="004C2EE4" w:rsidRDefault="004978F9" w:rsidP="004978F9">
      <w:pPr>
        <w:bidi/>
        <w:spacing w:after="0" w:line="240" w:lineRule="auto"/>
        <w:rPr>
          <w:rFonts w:ascii="Times New Roman" w:eastAsia="Times New Roman" w:hAnsi="Times New Roman" w:cs="Ali_K_Sahifa Bold"/>
          <w:sz w:val="28"/>
          <w:szCs w:val="28"/>
          <w:lang w:eastAsia="ar-SA" w:bidi="ar-IQ"/>
        </w:rPr>
      </w:pPr>
    </w:p>
    <w:p w:rsidR="004978F9" w:rsidRPr="004C2EE4" w:rsidRDefault="004978F9" w:rsidP="004978F9">
      <w:pPr>
        <w:spacing w:after="0" w:line="240" w:lineRule="auto"/>
        <w:jc w:val="center"/>
        <w:rPr>
          <w:rFonts w:ascii="Times New Roman" w:eastAsia="Times New Roman" w:hAnsi="Times New Roman" w:cs="Ali_K_Sahifa Bold"/>
          <w:b/>
          <w:bCs/>
          <w:sz w:val="28"/>
          <w:szCs w:val="28"/>
          <w:lang w:eastAsia="ar-SA" w:bidi="ar-IQ"/>
        </w:rPr>
      </w:pPr>
      <w:r w:rsidRPr="00D5102C">
        <w:rPr>
          <w:rFonts w:ascii="Times New Roman" w:eastAsia="Times New Roman" w:hAnsi="Times New Roman" w:cs="Ali_K_Sahifa Bold"/>
          <w:b/>
          <w:bCs/>
          <w:sz w:val="28"/>
          <w:szCs w:val="28"/>
          <w:lang w:eastAsia="ar-SA" w:bidi="ar-IQ"/>
        </w:rPr>
        <w:t>DECLARATION</w:t>
      </w:r>
    </w:p>
    <w:p w:rsidR="004978F9" w:rsidRPr="00D5102C" w:rsidRDefault="004978F9" w:rsidP="004978F9">
      <w:pPr>
        <w:spacing w:after="0" w:line="240" w:lineRule="auto"/>
        <w:jc w:val="center"/>
        <w:rPr>
          <w:rFonts w:ascii="Times New Roman" w:eastAsia="Times New Roman" w:hAnsi="Times New Roman" w:cs="Ali_K_Sahifa Bold"/>
          <w:b/>
          <w:bCs/>
          <w:sz w:val="28"/>
          <w:szCs w:val="28"/>
          <w:rtl/>
          <w:lang w:eastAsia="ar-SA" w:bidi="ar-IQ"/>
        </w:rPr>
      </w:pPr>
    </w:p>
    <w:p w:rsidR="004978F9" w:rsidRPr="00D5102C" w:rsidRDefault="004978F9" w:rsidP="004978F9">
      <w:pPr>
        <w:bidi/>
        <w:spacing w:after="0" w:line="240" w:lineRule="auto"/>
        <w:jc w:val="center"/>
        <w:rPr>
          <w:rFonts w:ascii="Times New Roman" w:eastAsia="Times New Roman" w:hAnsi="Times New Roman" w:cs="Ali_K_Sahifa Bold"/>
          <w:sz w:val="28"/>
          <w:szCs w:val="28"/>
          <w:lang w:eastAsia="ar-SA"/>
        </w:rPr>
      </w:pPr>
    </w:p>
    <w:p w:rsidR="004978F9" w:rsidRPr="00D5102C" w:rsidRDefault="004978F9" w:rsidP="004978F9">
      <w:pPr>
        <w:spacing w:after="0" w:line="360" w:lineRule="auto"/>
        <w:jc w:val="both"/>
        <w:rPr>
          <w:rFonts w:ascii="Times New Roman" w:eastAsia="Times New Roman" w:hAnsi="Times New Roman" w:cs="Ali_K_Sahifa Bold"/>
          <w:sz w:val="28"/>
          <w:szCs w:val="28"/>
          <w:rtl/>
          <w:lang w:eastAsia="ar-SA"/>
        </w:rPr>
      </w:pPr>
      <w:r w:rsidRPr="00D5102C">
        <w:rPr>
          <w:rFonts w:ascii="Times New Roman" w:eastAsia="Times New Roman" w:hAnsi="Times New Roman" w:cs="Ali_K_Sahifa Bold"/>
          <w:sz w:val="28"/>
          <w:szCs w:val="28"/>
          <w:lang w:eastAsia="ar-SA" w:bidi="ar-IQ"/>
        </w:rPr>
        <w:t xml:space="preserve">I declare that the </w:t>
      </w:r>
      <w:r w:rsidRPr="004C2EE4">
        <w:rPr>
          <w:rFonts w:ascii="Times New Roman" w:eastAsia="Times New Roman" w:hAnsi="Times New Roman" w:cs="Ali_K_Sahifa Bold"/>
          <w:sz w:val="28"/>
          <w:szCs w:val="28"/>
          <w:lang w:eastAsia="ar-SA" w:bidi="ar-IQ"/>
        </w:rPr>
        <w:t>Master Thesis entitled (</w:t>
      </w:r>
      <w:r w:rsidRPr="00F05574">
        <w:rPr>
          <w:rFonts w:ascii="Times New Roman" w:eastAsia="Times New Roman" w:hAnsi="Times New Roman" w:cs="Ali_K_Sahifa Bold"/>
          <w:sz w:val="28"/>
          <w:szCs w:val="28"/>
          <w:lang w:eastAsia="ar-SA" w:bidi="ar-IQ"/>
        </w:rPr>
        <w:t>The role of Biomechanical Alignment on Managing Knee Joint Osteoarthritis</w:t>
      </w:r>
      <w:r w:rsidRPr="004C2EE4">
        <w:rPr>
          <w:rFonts w:ascii="Times New Roman" w:eastAsia="Times New Roman" w:hAnsi="Times New Roman" w:cs="Ali_K_Sahifa Bold"/>
          <w:sz w:val="28"/>
          <w:szCs w:val="28"/>
          <w:lang w:eastAsia="ar-SA" w:bidi="ar-IQ"/>
        </w:rPr>
        <w:t xml:space="preserve">) is </w:t>
      </w:r>
      <w:r w:rsidRPr="00D5102C">
        <w:rPr>
          <w:rFonts w:ascii="Times New Roman" w:eastAsia="Times New Roman" w:hAnsi="Times New Roman" w:cs="Ali_K_Sahifa Bold"/>
          <w:sz w:val="28"/>
          <w:szCs w:val="28"/>
          <w:lang w:eastAsia="ar-SA" w:bidi="ar-IQ"/>
        </w:rPr>
        <w:t xml:space="preserve">my own original work, and hereby I certify that unless stated, all work contained within this thesis is my own independent research and has not been submitted for the award of any other degree at any institution, except where due acknowledgment is made in the text.                                                 </w:t>
      </w:r>
    </w:p>
    <w:p w:rsidR="004978F9" w:rsidRPr="00D5102C" w:rsidRDefault="004978F9" w:rsidP="004978F9">
      <w:pPr>
        <w:bidi/>
        <w:spacing w:after="0" w:line="240" w:lineRule="auto"/>
        <w:jc w:val="center"/>
        <w:rPr>
          <w:rFonts w:ascii="Times New Roman" w:eastAsia="Times New Roman" w:hAnsi="Times New Roman" w:cs="Ali_K_Sahifa Bold"/>
          <w:sz w:val="28"/>
          <w:szCs w:val="28"/>
          <w:lang w:eastAsia="ar-SA"/>
        </w:rPr>
      </w:pPr>
    </w:p>
    <w:p w:rsidR="004978F9" w:rsidRPr="00D5102C" w:rsidRDefault="004978F9" w:rsidP="004978F9">
      <w:pPr>
        <w:bidi/>
        <w:spacing w:after="0" w:line="240" w:lineRule="auto"/>
        <w:jc w:val="center"/>
        <w:rPr>
          <w:rFonts w:ascii="Times New Roman" w:eastAsia="Times New Roman" w:hAnsi="Times New Roman" w:cs="Ali_K_Sahifa Bold"/>
          <w:sz w:val="28"/>
          <w:szCs w:val="28"/>
          <w:lang w:eastAsia="ar-SA" w:bidi="ar-IQ"/>
        </w:rPr>
      </w:pPr>
    </w:p>
    <w:p w:rsidR="004978F9" w:rsidRPr="00D5102C" w:rsidRDefault="004978F9" w:rsidP="004978F9">
      <w:pPr>
        <w:bidi/>
        <w:spacing w:after="0" w:line="240" w:lineRule="auto"/>
        <w:jc w:val="center"/>
        <w:rPr>
          <w:rFonts w:ascii="Times New Roman" w:eastAsia="Times New Roman" w:hAnsi="Times New Roman" w:cs="Ali_K_Sahifa Bold"/>
          <w:sz w:val="28"/>
          <w:szCs w:val="28"/>
          <w:lang w:eastAsia="ar-SA"/>
        </w:rPr>
      </w:pPr>
    </w:p>
    <w:p w:rsidR="004978F9" w:rsidRPr="00D5102C" w:rsidRDefault="004978F9" w:rsidP="004978F9">
      <w:pPr>
        <w:bidi/>
        <w:spacing w:after="0" w:line="240" w:lineRule="auto"/>
        <w:jc w:val="center"/>
        <w:rPr>
          <w:rFonts w:ascii="Times New Roman" w:eastAsia="Times New Roman" w:hAnsi="Times New Roman" w:cs="Ali_K_Sahifa Bold"/>
          <w:sz w:val="28"/>
          <w:szCs w:val="28"/>
          <w:lang w:eastAsia="ar-SA" w:bidi="ar-IQ"/>
        </w:rPr>
      </w:pPr>
      <w:r w:rsidRPr="00D5102C">
        <w:rPr>
          <w:rFonts w:ascii="Times New Roman" w:eastAsia="Times New Roman" w:hAnsi="Times New Roman" w:cs="Ali_K_Sahifa Bold"/>
          <w:sz w:val="28"/>
          <w:szCs w:val="28"/>
          <w:lang w:eastAsia="ar-SA" w:bidi="ar-IQ"/>
        </w:rPr>
        <w:t xml:space="preserve">                                              </w:t>
      </w:r>
    </w:p>
    <w:p w:rsidR="004978F9" w:rsidRPr="004C2EE4" w:rsidRDefault="004978F9" w:rsidP="004978F9">
      <w:pPr>
        <w:spacing w:after="0" w:line="480" w:lineRule="auto"/>
        <w:rPr>
          <w:rFonts w:ascii="Times New Roman" w:eastAsia="Times New Roman" w:hAnsi="Times New Roman" w:cs="Ali_K_Sahifa Bold"/>
          <w:sz w:val="28"/>
          <w:szCs w:val="28"/>
          <w:lang w:eastAsia="ar-SA" w:bidi="ar-IQ"/>
        </w:rPr>
      </w:pPr>
    </w:p>
    <w:p w:rsidR="004978F9" w:rsidRPr="004C2EE4" w:rsidRDefault="004978F9" w:rsidP="004978F9">
      <w:pPr>
        <w:spacing w:after="0" w:line="480" w:lineRule="auto"/>
        <w:rPr>
          <w:rFonts w:ascii="Times New Roman" w:eastAsia="Times New Roman" w:hAnsi="Times New Roman" w:cs="Ali_K_Sahifa Bold"/>
          <w:sz w:val="28"/>
          <w:szCs w:val="28"/>
          <w:lang w:eastAsia="ar-SA" w:bidi="ar-IQ"/>
        </w:rPr>
      </w:pPr>
    </w:p>
    <w:p w:rsidR="004978F9" w:rsidRPr="00D5102C" w:rsidRDefault="004978F9" w:rsidP="004978F9">
      <w:pPr>
        <w:spacing w:after="0" w:line="480" w:lineRule="auto"/>
        <w:rPr>
          <w:rFonts w:ascii="Times New Roman" w:eastAsia="Times New Roman" w:hAnsi="Times New Roman" w:cs="Ali_K_Sahifa Bold"/>
          <w:sz w:val="28"/>
          <w:szCs w:val="28"/>
          <w:rtl/>
          <w:lang w:eastAsia="ar-SA"/>
        </w:rPr>
      </w:pPr>
      <w:r w:rsidRPr="00D5102C">
        <w:rPr>
          <w:rFonts w:ascii="Times New Roman" w:eastAsia="Times New Roman" w:hAnsi="Times New Roman" w:cs="Ali_K_Sahifa Bold"/>
          <w:sz w:val="28"/>
          <w:szCs w:val="28"/>
          <w:lang w:eastAsia="ar-SA" w:bidi="ar-IQ"/>
        </w:rPr>
        <w:t xml:space="preserve">Signature:                             </w:t>
      </w:r>
    </w:p>
    <w:p w:rsidR="004978F9" w:rsidRPr="004C2EE4" w:rsidRDefault="004978F9" w:rsidP="004978F9">
      <w:pPr>
        <w:spacing w:after="0" w:line="480" w:lineRule="auto"/>
        <w:rPr>
          <w:rFonts w:ascii="Times New Roman" w:eastAsia="Times New Roman" w:hAnsi="Times New Roman" w:cs="Ali_K_Sahifa Bold"/>
          <w:sz w:val="28"/>
          <w:szCs w:val="28"/>
          <w:lang w:eastAsia="ar-SA" w:bidi="ar-IQ"/>
        </w:rPr>
      </w:pPr>
      <w:r w:rsidRPr="00D5102C">
        <w:rPr>
          <w:rFonts w:ascii="Times New Roman" w:eastAsia="Times New Roman" w:hAnsi="Times New Roman" w:cs="Ali_K_Sahifa Bold"/>
          <w:sz w:val="28"/>
          <w:szCs w:val="28"/>
          <w:lang w:eastAsia="ar-SA" w:bidi="ar-IQ"/>
        </w:rPr>
        <w:t xml:space="preserve">Student Name: </w:t>
      </w:r>
      <w:r>
        <w:rPr>
          <w:rFonts w:ascii="Times New Roman" w:eastAsia="Times New Roman" w:hAnsi="Times New Roman" w:cs="Ali_K_Sahifa Bold"/>
          <w:sz w:val="28"/>
          <w:szCs w:val="28"/>
          <w:lang w:eastAsia="ar-SA" w:bidi="ar-IQ"/>
        </w:rPr>
        <w:t>Muhammed Jalil Omer</w:t>
      </w:r>
      <w:r w:rsidRPr="00D5102C">
        <w:rPr>
          <w:rFonts w:ascii="Times New Roman" w:eastAsia="Times New Roman" w:hAnsi="Times New Roman" w:cs="Ali_K_Sahifa Bold"/>
          <w:sz w:val="28"/>
          <w:szCs w:val="28"/>
          <w:lang w:eastAsia="ar-SA" w:bidi="ar-IQ"/>
        </w:rPr>
        <w:t xml:space="preserve">                      </w:t>
      </w:r>
    </w:p>
    <w:p w:rsidR="004978F9" w:rsidRPr="004C2EE4" w:rsidRDefault="004978F9" w:rsidP="004978F9">
      <w:pPr>
        <w:spacing w:after="0" w:line="480" w:lineRule="auto"/>
        <w:rPr>
          <w:rFonts w:ascii="Times New Roman" w:eastAsia="Times New Roman" w:hAnsi="Times New Roman" w:cs="Ali_K_Sahifa Bold"/>
          <w:sz w:val="28"/>
          <w:szCs w:val="28"/>
          <w:lang w:eastAsia="ar-SA" w:bidi="ar-IQ"/>
        </w:rPr>
      </w:pPr>
      <w:r w:rsidRPr="004C2EE4">
        <w:rPr>
          <w:rFonts w:ascii="Times New Roman" w:eastAsia="Times New Roman" w:hAnsi="Times New Roman" w:cs="Ali_K_Sahifa Bold"/>
          <w:sz w:val="28"/>
          <w:szCs w:val="28"/>
          <w:lang w:eastAsia="ar-SA" w:bidi="ar-IQ"/>
        </w:rPr>
        <w:t>Date:</w:t>
      </w:r>
    </w:p>
    <w:p w:rsidR="004978F9" w:rsidRPr="004C2EE4" w:rsidRDefault="004978F9" w:rsidP="004978F9">
      <w:pPr>
        <w:rPr>
          <w:sz w:val="28"/>
          <w:szCs w:val="28"/>
        </w:rPr>
      </w:pPr>
    </w:p>
    <w:p w:rsidR="004978F9" w:rsidRPr="004C2EE4" w:rsidRDefault="004978F9" w:rsidP="004978F9">
      <w:pPr>
        <w:rPr>
          <w:sz w:val="28"/>
          <w:szCs w:val="28"/>
        </w:rPr>
      </w:pPr>
      <w:r w:rsidRPr="004C2EE4">
        <w:rPr>
          <w:sz w:val="28"/>
          <w:szCs w:val="28"/>
        </w:rPr>
        <w:br w:type="page"/>
      </w:r>
    </w:p>
    <w:p w:rsidR="004978F9" w:rsidRPr="004C2EE4" w:rsidRDefault="004978F9" w:rsidP="004978F9">
      <w:pPr>
        <w:spacing w:after="0" w:line="240" w:lineRule="auto"/>
        <w:jc w:val="center"/>
        <w:rPr>
          <w:rFonts w:ascii="Times New Roman" w:eastAsia="Times New Roman" w:hAnsi="Times New Roman" w:cs="Times New Roman"/>
          <w:b/>
          <w:bCs/>
          <w:sz w:val="28"/>
          <w:szCs w:val="28"/>
          <w:lang w:eastAsia="ar-SA"/>
        </w:rPr>
      </w:pPr>
      <w:r w:rsidRPr="00991D53">
        <w:rPr>
          <w:rFonts w:ascii="Times New Roman" w:eastAsia="Times New Roman" w:hAnsi="Times New Roman" w:cs="Times New Roman"/>
          <w:b/>
          <w:bCs/>
          <w:sz w:val="28"/>
          <w:szCs w:val="28"/>
          <w:lang w:eastAsia="ar-SA"/>
        </w:rPr>
        <w:lastRenderedPageBreak/>
        <w:t>SUPERVISOR CERTIFICATE</w:t>
      </w:r>
    </w:p>
    <w:p w:rsidR="004978F9" w:rsidRPr="00991D53" w:rsidRDefault="004978F9" w:rsidP="004978F9">
      <w:pPr>
        <w:spacing w:after="0" w:line="240" w:lineRule="auto"/>
        <w:jc w:val="center"/>
        <w:rPr>
          <w:rFonts w:ascii="Times New Roman" w:eastAsia="Times New Roman" w:hAnsi="Times New Roman" w:cs="Times New Roman"/>
          <w:b/>
          <w:bCs/>
          <w:sz w:val="28"/>
          <w:szCs w:val="28"/>
          <w:lang w:eastAsia="ar-SA"/>
        </w:rPr>
      </w:pPr>
    </w:p>
    <w:p w:rsidR="004978F9" w:rsidRPr="004C2EE4" w:rsidRDefault="004978F9" w:rsidP="004978F9">
      <w:pPr>
        <w:spacing w:line="360" w:lineRule="auto"/>
        <w:jc w:val="both"/>
        <w:rPr>
          <w:rFonts w:ascii="Times New Roman" w:eastAsia="Times New Roman" w:hAnsi="Times New Roman" w:cs="Times New Roman"/>
          <w:sz w:val="28"/>
          <w:szCs w:val="28"/>
          <w:lang w:eastAsia="ar-SA"/>
        </w:rPr>
      </w:pPr>
    </w:p>
    <w:p w:rsidR="004978F9" w:rsidRDefault="004978F9" w:rsidP="004978F9">
      <w:pPr>
        <w:spacing w:line="360" w:lineRule="auto"/>
        <w:jc w:val="both"/>
        <w:rPr>
          <w:rFonts w:ascii="Times New Roman" w:eastAsia="Times New Roman" w:hAnsi="Times New Roman" w:cs="Times New Roman"/>
          <w:sz w:val="28"/>
          <w:szCs w:val="28"/>
          <w:lang w:eastAsia="ar-SA" w:bidi="ar-IQ"/>
        </w:rPr>
      </w:pPr>
      <w:r w:rsidRPr="004C2EE4">
        <w:rPr>
          <w:rFonts w:ascii="Times New Roman" w:eastAsia="Times New Roman" w:hAnsi="Times New Roman" w:cs="Times New Roman"/>
          <w:sz w:val="28"/>
          <w:szCs w:val="28"/>
          <w:lang w:eastAsia="ar-SA" w:bidi="ar-IQ"/>
        </w:rPr>
        <w:t xml:space="preserve">This thesis has been written under my supervision and has been submitted for the award of the Degree of Master in Physiotherapy with my approval as supervisor.    </w:t>
      </w:r>
    </w:p>
    <w:p w:rsidR="004978F9" w:rsidRDefault="004978F9" w:rsidP="004978F9">
      <w:pPr>
        <w:spacing w:line="360" w:lineRule="auto"/>
        <w:jc w:val="both"/>
        <w:rPr>
          <w:rFonts w:ascii="Times New Roman" w:eastAsia="Times New Roman" w:hAnsi="Times New Roman" w:cs="Times New Roman"/>
          <w:sz w:val="28"/>
          <w:szCs w:val="28"/>
          <w:lang w:eastAsia="ar-SA" w:bidi="ar-IQ"/>
        </w:rPr>
      </w:pPr>
    </w:p>
    <w:p w:rsidR="004978F9" w:rsidRDefault="004978F9" w:rsidP="004978F9">
      <w:pPr>
        <w:spacing w:line="360" w:lineRule="auto"/>
        <w:jc w:val="both"/>
        <w:rPr>
          <w:rFonts w:ascii="Times New Roman" w:eastAsia="Times New Roman" w:hAnsi="Times New Roman" w:cs="Times New Roman"/>
          <w:sz w:val="28"/>
          <w:szCs w:val="28"/>
          <w:lang w:eastAsia="ar-SA" w:bidi="ar-IQ"/>
        </w:rPr>
      </w:pPr>
    </w:p>
    <w:p w:rsidR="004978F9" w:rsidRPr="009B174E" w:rsidRDefault="004978F9" w:rsidP="004978F9">
      <w:pPr>
        <w:spacing w:line="360" w:lineRule="auto"/>
        <w:jc w:val="both"/>
        <w:rPr>
          <w:rFonts w:ascii="Times New Roman" w:eastAsia="Times New Roman" w:hAnsi="Times New Roman" w:cs="Times New Roman"/>
          <w:sz w:val="28"/>
          <w:szCs w:val="28"/>
          <w:lang w:eastAsia="ar-SA" w:bidi="ar-IQ"/>
        </w:rPr>
      </w:pPr>
      <w:r w:rsidRPr="009B174E">
        <w:rPr>
          <w:rFonts w:ascii="Times New Roman" w:eastAsia="Times New Roman" w:hAnsi="Times New Roman" w:cs="Times New Roman"/>
          <w:sz w:val="28"/>
          <w:szCs w:val="28"/>
          <w:lang w:eastAsia="ar-SA" w:bidi="ar-IQ"/>
        </w:rPr>
        <w:t xml:space="preserve">Signature:   </w:t>
      </w:r>
    </w:p>
    <w:p w:rsidR="004978F9" w:rsidRPr="00F05574" w:rsidRDefault="004978F9" w:rsidP="004978F9">
      <w:pPr>
        <w:spacing w:line="360" w:lineRule="auto"/>
        <w:jc w:val="both"/>
        <w:rPr>
          <w:rFonts w:ascii="Times New Roman" w:eastAsia="Times New Roman" w:hAnsi="Times New Roman" w:cs="Times New Roman"/>
          <w:sz w:val="28"/>
          <w:szCs w:val="28"/>
          <w:lang w:eastAsia="ar-SA" w:bidi="ar-IQ"/>
        </w:rPr>
      </w:pPr>
      <w:r w:rsidRPr="009B174E">
        <w:rPr>
          <w:rFonts w:ascii="Times New Roman" w:eastAsia="Times New Roman" w:hAnsi="Times New Roman" w:cs="Times New Roman"/>
          <w:sz w:val="28"/>
          <w:szCs w:val="28"/>
          <w:lang w:eastAsia="ar-SA" w:bidi="ar-IQ"/>
        </w:rPr>
        <w:t>Name:</w:t>
      </w:r>
      <w:r>
        <w:rPr>
          <w:rFonts w:ascii="Times New Roman" w:eastAsia="Times New Roman" w:hAnsi="Times New Roman" w:cs="Times New Roman"/>
          <w:sz w:val="28"/>
          <w:szCs w:val="28"/>
          <w:lang w:eastAsia="ar-SA" w:bidi="ar-IQ"/>
        </w:rPr>
        <w:t xml:space="preserve"> </w:t>
      </w:r>
      <w:r w:rsidRPr="00E43F08">
        <w:rPr>
          <w:rFonts w:ascii="Times New Roman" w:eastAsia="Times New Roman" w:hAnsi="Times New Roman" w:cs="Times New Roman"/>
          <w:sz w:val="28"/>
          <w:szCs w:val="28"/>
          <w:lang w:eastAsia="ar-SA" w:bidi="ar-IQ"/>
        </w:rPr>
        <w:t xml:space="preserve">Assist. </w:t>
      </w:r>
      <w:r w:rsidRPr="00F05574">
        <w:rPr>
          <w:rFonts w:ascii="Times New Roman" w:eastAsia="Times New Roman" w:hAnsi="Times New Roman" w:cs="Times New Roman"/>
          <w:sz w:val="28"/>
          <w:szCs w:val="28"/>
          <w:lang w:eastAsia="ar-SA" w:bidi="ar-IQ"/>
        </w:rPr>
        <w:t>Assist. Prof. Ghassan Husni Ali</w:t>
      </w:r>
    </w:p>
    <w:p w:rsidR="004978F9" w:rsidRPr="009B174E" w:rsidRDefault="004978F9" w:rsidP="004978F9">
      <w:pPr>
        <w:spacing w:after="0" w:line="360" w:lineRule="auto"/>
        <w:rPr>
          <w:rFonts w:ascii="Times New Roman" w:eastAsia="Times New Roman" w:hAnsi="Times New Roman" w:cs="Ali_K_Sahifa Bold"/>
          <w:sz w:val="28"/>
          <w:szCs w:val="28"/>
          <w:lang w:eastAsia="ar-SA" w:bidi="ar-IQ"/>
        </w:rPr>
      </w:pPr>
      <w:r w:rsidRPr="009B174E">
        <w:rPr>
          <w:rFonts w:ascii="Times New Roman" w:eastAsia="Times New Roman" w:hAnsi="Times New Roman" w:cs="Ali_K_Sahifa Bold"/>
          <w:sz w:val="28"/>
          <w:szCs w:val="28"/>
          <w:lang w:eastAsia="ar-SA" w:bidi="ar-IQ"/>
        </w:rPr>
        <w:t>Date:</w:t>
      </w:r>
    </w:p>
    <w:p w:rsidR="004978F9" w:rsidRPr="009B174E" w:rsidRDefault="004978F9" w:rsidP="004978F9">
      <w:pPr>
        <w:spacing w:line="360" w:lineRule="auto"/>
        <w:jc w:val="both"/>
        <w:rPr>
          <w:rFonts w:ascii="Times New Roman" w:eastAsia="Times New Roman" w:hAnsi="Times New Roman" w:cs="Times New Roman"/>
          <w:sz w:val="28"/>
          <w:szCs w:val="28"/>
          <w:lang w:eastAsia="ar-SA" w:bidi="ar-IQ"/>
        </w:rPr>
      </w:pPr>
    </w:p>
    <w:p w:rsidR="004978F9" w:rsidRDefault="004978F9" w:rsidP="004978F9">
      <w:pPr>
        <w:spacing w:after="0" w:line="240" w:lineRule="auto"/>
        <w:rPr>
          <w:rFonts w:ascii="Times New Roman" w:eastAsia="Times New Roman" w:hAnsi="Times New Roman" w:cs="Times New Roman"/>
          <w:sz w:val="28"/>
          <w:szCs w:val="28"/>
          <w:lang w:eastAsia="ar-SA" w:bidi="ar-IQ"/>
        </w:rPr>
      </w:pPr>
    </w:p>
    <w:p w:rsidR="004978F9" w:rsidRPr="009B174E" w:rsidRDefault="004978F9" w:rsidP="004978F9">
      <w:pPr>
        <w:spacing w:after="0" w:line="240" w:lineRule="auto"/>
        <w:rPr>
          <w:rFonts w:ascii="Times New Roman" w:eastAsia="Times New Roman" w:hAnsi="Times New Roman" w:cs="Ali_K_Sahifa Bold"/>
          <w:b/>
          <w:bCs/>
          <w:sz w:val="28"/>
          <w:szCs w:val="28"/>
          <w:lang w:eastAsia="ar-SA" w:bidi="ar-IQ"/>
        </w:rPr>
      </w:pPr>
      <w:r w:rsidRPr="009B174E">
        <w:rPr>
          <w:rFonts w:ascii="Times New Roman" w:eastAsia="Times New Roman" w:hAnsi="Times New Roman" w:cs="Ali_K_Sahifa Bold"/>
          <w:b/>
          <w:bCs/>
          <w:sz w:val="28"/>
          <w:szCs w:val="28"/>
          <w:lang w:eastAsia="ar-SA" w:bidi="ar-IQ"/>
        </w:rPr>
        <w:t>I confirm that all requirements have been fulfilled.</w:t>
      </w:r>
    </w:p>
    <w:p w:rsidR="004978F9" w:rsidRPr="009B174E" w:rsidRDefault="004978F9" w:rsidP="004978F9">
      <w:pPr>
        <w:spacing w:after="0" w:line="240" w:lineRule="auto"/>
        <w:rPr>
          <w:rFonts w:ascii="Times New Roman" w:eastAsia="Times New Roman" w:hAnsi="Times New Roman" w:cs="Ali_K_Sahifa Bold"/>
          <w:sz w:val="28"/>
          <w:szCs w:val="28"/>
          <w:lang w:eastAsia="ar-SA" w:bidi="ar-IQ"/>
        </w:rPr>
      </w:pPr>
    </w:p>
    <w:p w:rsidR="004978F9" w:rsidRPr="009B174E" w:rsidRDefault="004978F9" w:rsidP="004978F9">
      <w:pPr>
        <w:spacing w:after="0" w:line="360" w:lineRule="auto"/>
        <w:rPr>
          <w:rFonts w:ascii="Times New Roman" w:eastAsia="Times New Roman" w:hAnsi="Times New Roman" w:cs="Ali_K_Sahifa Bold"/>
          <w:sz w:val="28"/>
          <w:szCs w:val="28"/>
          <w:lang w:eastAsia="ar-SA" w:bidi="ar-IQ"/>
        </w:rPr>
      </w:pPr>
      <w:r w:rsidRPr="009B174E">
        <w:rPr>
          <w:rFonts w:ascii="Times New Roman" w:eastAsia="Times New Roman" w:hAnsi="Times New Roman" w:cs="Ali_K_Sahifa Bold"/>
          <w:sz w:val="28"/>
          <w:szCs w:val="28"/>
          <w:lang w:eastAsia="ar-SA" w:bidi="ar-IQ"/>
        </w:rPr>
        <w:t xml:space="preserve">Signature:   </w:t>
      </w:r>
    </w:p>
    <w:p w:rsidR="004978F9" w:rsidRPr="009B174E" w:rsidRDefault="004978F9" w:rsidP="004978F9">
      <w:pPr>
        <w:spacing w:after="0" w:line="360" w:lineRule="auto"/>
        <w:rPr>
          <w:rFonts w:ascii="Times New Roman" w:eastAsia="Times New Roman" w:hAnsi="Times New Roman" w:cs="Ali_K_Sahifa Bold"/>
          <w:sz w:val="28"/>
          <w:szCs w:val="28"/>
          <w:lang w:eastAsia="ar-SA" w:bidi="ar-IQ"/>
        </w:rPr>
      </w:pPr>
      <w:r w:rsidRPr="009B174E">
        <w:rPr>
          <w:rFonts w:ascii="Times New Roman" w:eastAsia="Times New Roman" w:hAnsi="Times New Roman" w:cs="Ali_K_Sahifa Bold"/>
          <w:sz w:val="28"/>
          <w:szCs w:val="28"/>
          <w:lang w:eastAsia="ar-SA" w:bidi="ar-IQ"/>
        </w:rPr>
        <w:t>Name:</w:t>
      </w:r>
      <w:r>
        <w:rPr>
          <w:rFonts w:ascii="Times New Roman" w:eastAsia="Times New Roman" w:hAnsi="Times New Roman" w:cs="Ali_K_Sahifa Bold"/>
          <w:sz w:val="28"/>
          <w:szCs w:val="28"/>
          <w:lang w:eastAsia="ar-SA" w:bidi="ar-IQ"/>
        </w:rPr>
        <w:t xml:space="preserve"> </w:t>
      </w:r>
      <w:r w:rsidRPr="00E43F08">
        <w:rPr>
          <w:rFonts w:ascii="Times New Roman" w:eastAsia="Times New Roman" w:hAnsi="Times New Roman" w:cs="Ali_K_Sahifa Bold"/>
          <w:sz w:val="28"/>
          <w:szCs w:val="28"/>
          <w:lang w:eastAsia="ar-SA" w:bidi="ar-IQ"/>
        </w:rPr>
        <w:t>Dr. Mahdi Khaled Qadir</w:t>
      </w:r>
    </w:p>
    <w:p w:rsidR="004978F9" w:rsidRPr="009B174E" w:rsidRDefault="004978F9" w:rsidP="004978F9">
      <w:pPr>
        <w:spacing w:after="0" w:line="360" w:lineRule="auto"/>
        <w:rPr>
          <w:rFonts w:ascii="Times New Roman" w:eastAsia="Times New Roman" w:hAnsi="Times New Roman" w:cs="Ali_K_Sahifa Bold"/>
          <w:sz w:val="28"/>
          <w:szCs w:val="28"/>
          <w:lang w:eastAsia="ar-SA" w:bidi="ar-IQ"/>
        </w:rPr>
      </w:pPr>
      <w:r>
        <w:rPr>
          <w:rFonts w:ascii="Times New Roman" w:eastAsia="Times New Roman" w:hAnsi="Times New Roman" w:cs="Ali_K_Sahifa Bold"/>
          <w:sz w:val="28"/>
          <w:szCs w:val="28"/>
          <w:lang w:eastAsia="ar-SA" w:bidi="ar-IQ"/>
        </w:rPr>
        <w:t>Head of Physiotherapy Department</w:t>
      </w:r>
    </w:p>
    <w:p w:rsidR="004978F9" w:rsidRPr="009B174E" w:rsidRDefault="004978F9" w:rsidP="004978F9">
      <w:pPr>
        <w:spacing w:after="0" w:line="360" w:lineRule="auto"/>
        <w:rPr>
          <w:rFonts w:ascii="Times New Roman" w:eastAsia="Times New Roman" w:hAnsi="Times New Roman" w:cs="Ali_K_Sahifa Bold"/>
          <w:sz w:val="28"/>
          <w:szCs w:val="28"/>
          <w:lang w:eastAsia="ar-SA" w:bidi="ar-IQ"/>
        </w:rPr>
      </w:pPr>
      <w:r w:rsidRPr="009B174E">
        <w:rPr>
          <w:rFonts w:ascii="Times New Roman" w:eastAsia="Times New Roman" w:hAnsi="Times New Roman" w:cs="Ali_K_Sahifa Bold"/>
          <w:sz w:val="28"/>
          <w:szCs w:val="28"/>
          <w:lang w:eastAsia="ar-SA" w:bidi="ar-IQ"/>
        </w:rPr>
        <w:t>Date:</w:t>
      </w:r>
    </w:p>
    <w:p w:rsidR="004978F9" w:rsidRPr="009B174E" w:rsidRDefault="004978F9" w:rsidP="004978F9">
      <w:pPr>
        <w:spacing w:after="0" w:line="360" w:lineRule="auto"/>
        <w:rPr>
          <w:rFonts w:ascii="Times New Roman" w:eastAsia="Times New Roman" w:hAnsi="Times New Roman" w:cs="Ali_K_Sahifa Bold"/>
          <w:b/>
          <w:bCs/>
          <w:sz w:val="28"/>
          <w:szCs w:val="28"/>
          <w:lang w:eastAsia="ar-SA" w:bidi="ar-IQ"/>
        </w:rPr>
      </w:pPr>
      <w:r w:rsidRPr="009B174E">
        <w:rPr>
          <w:rFonts w:ascii="Times New Roman" w:eastAsia="Times New Roman" w:hAnsi="Times New Roman" w:cs="Ali_K_Sahifa Bold"/>
          <w:sz w:val="28"/>
          <w:szCs w:val="28"/>
          <w:lang w:eastAsia="ar-SA" w:bidi="ar-IQ"/>
        </w:rPr>
        <w:t xml:space="preserve">                                                                                                                                                     </w:t>
      </w:r>
      <w:r w:rsidRPr="009B174E">
        <w:rPr>
          <w:rFonts w:ascii="Times New Roman" w:eastAsia="Times New Roman" w:hAnsi="Times New Roman" w:cs="Ali_K_Sahifa Bold"/>
          <w:b/>
          <w:bCs/>
          <w:sz w:val="28"/>
          <w:szCs w:val="28"/>
          <w:lang w:eastAsia="ar-SA" w:bidi="ar-IQ"/>
        </w:rPr>
        <w:t xml:space="preserve">I confirm that all requirements have been fulfilled.       </w:t>
      </w:r>
    </w:p>
    <w:p w:rsidR="004978F9" w:rsidRDefault="004978F9" w:rsidP="004978F9">
      <w:pPr>
        <w:spacing w:after="0" w:line="360" w:lineRule="auto"/>
        <w:rPr>
          <w:rFonts w:ascii="Times New Roman" w:eastAsia="Times New Roman" w:hAnsi="Times New Roman" w:cs="Ali_K_Sahifa Bold"/>
          <w:b/>
          <w:bCs/>
          <w:sz w:val="28"/>
          <w:szCs w:val="28"/>
          <w:lang w:eastAsia="ar-SA" w:bidi="ar-IQ"/>
        </w:rPr>
      </w:pPr>
    </w:p>
    <w:p w:rsidR="004978F9" w:rsidRPr="009B174E" w:rsidRDefault="004978F9" w:rsidP="004978F9">
      <w:pPr>
        <w:spacing w:after="0" w:line="360" w:lineRule="auto"/>
        <w:rPr>
          <w:rFonts w:ascii="Times New Roman" w:eastAsia="Times New Roman" w:hAnsi="Times New Roman" w:cs="Ali_K_Sahifa Bold"/>
          <w:sz w:val="28"/>
          <w:szCs w:val="28"/>
          <w:lang w:eastAsia="ar-SA" w:bidi="ar-IQ"/>
        </w:rPr>
      </w:pPr>
      <w:r w:rsidRPr="009B174E">
        <w:rPr>
          <w:rFonts w:ascii="Times New Roman" w:eastAsia="Times New Roman" w:hAnsi="Times New Roman" w:cs="Ali_K_Sahifa Bold"/>
          <w:sz w:val="28"/>
          <w:szCs w:val="28"/>
          <w:lang w:eastAsia="ar-SA" w:bidi="ar-IQ"/>
        </w:rPr>
        <w:t xml:space="preserve">Postgraduate Office </w:t>
      </w:r>
    </w:p>
    <w:p w:rsidR="004978F9" w:rsidRDefault="004978F9" w:rsidP="004978F9">
      <w:pPr>
        <w:spacing w:line="360" w:lineRule="auto"/>
        <w:jc w:val="both"/>
        <w:rPr>
          <w:rFonts w:ascii="Times New Roman" w:eastAsia="Times New Roman" w:hAnsi="Times New Roman" w:cs="Ali_K_Sahifa Bold"/>
          <w:sz w:val="28"/>
          <w:szCs w:val="28"/>
          <w:lang w:eastAsia="ar-SA" w:bidi="ar-IQ"/>
        </w:rPr>
      </w:pPr>
      <w:r w:rsidRPr="009B174E">
        <w:rPr>
          <w:rFonts w:ascii="Times New Roman" w:eastAsia="Times New Roman" w:hAnsi="Times New Roman" w:cs="Ali_K_Sahifa Bold"/>
          <w:sz w:val="28"/>
          <w:szCs w:val="28"/>
          <w:lang w:eastAsia="ar-SA" w:bidi="ar-IQ"/>
        </w:rPr>
        <w:t xml:space="preserve">Signature:  </w:t>
      </w:r>
    </w:p>
    <w:p w:rsidR="004978F9" w:rsidRPr="00E43F08" w:rsidRDefault="004978F9" w:rsidP="004978F9">
      <w:pPr>
        <w:spacing w:after="0" w:line="360" w:lineRule="auto"/>
        <w:rPr>
          <w:rFonts w:ascii="Times New Roman" w:eastAsia="Times New Roman" w:hAnsi="Times New Roman" w:cs="Ali_K_Sahifa Bold"/>
          <w:sz w:val="28"/>
          <w:szCs w:val="28"/>
          <w:lang w:eastAsia="ar-SA" w:bidi="ar-IQ"/>
        </w:rPr>
      </w:pPr>
      <w:r w:rsidRPr="00E43F08">
        <w:rPr>
          <w:rFonts w:ascii="Times New Roman" w:eastAsia="Times New Roman" w:hAnsi="Times New Roman" w:cs="Ali_K_Sahifa Bold"/>
          <w:sz w:val="28"/>
          <w:szCs w:val="28"/>
          <w:lang w:eastAsia="ar-SA" w:bidi="ar-IQ"/>
        </w:rPr>
        <w:t>Name:</w:t>
      </w:r>
    </w:p>
    <w:p w:rsidR="004978F9" w:rsidRPr="00E43F08" w:rsidRDefault="004978F9" w:rsidP="004978F9">
      <w:pPr>
        <w:spacing w:after="0" w:line="360" w:lineRule="auto"/>
        <w:rPr>
          <w:rFonts w:ascii="Times New Roman" w:eastAsia="Times New Roman" w:hAnsi="Times New Roman" w:cs="Ali_K_Sahifa Bold"/>
          <w:sz w:val="28"/>
          <w:szCs w:val="28"/>
          <w:rtl/>
          <w:lang w:eastAsia="ar-SA" w:bidi="ar-IQ"/>
        </w:rPr>
      </w:pPr>
      <w:r w:rsidRPr="00E43F08">
        <w:rPr>
          <w:rFonts w:ascii="Times New Roman" w:eastAsia="Times New Roman" w:hAnsi="Times New Roman" w:cs="Ali_K_Sahifa Bold"/>
          <w:sz w:val="28"/>
          <w:szCs w:val="28"/>
          <w:lang w:eastAsia="ar-SA" w:bidi="ar-IQ"/>
        </w:rPr>
        <w:t xml:space="preserve">Date:     </w:t>
      </w:r>
    </w:p>
    <w:p w:rsidR="004978F9" w:rsidRDefault="004978F9" w:rsidP="004978F9">
      <w:pPr>
        <w:spacing w:line="360" w:lineRule="auto"/>
        <w:jc w:val="both"/>
        <w:rPr>
          <w:rFonts w:ascii="Times New Roman" w:eastAsia="Times New Roman" w:hAnsi="Times New Roman" w:cs="Times New Roman"/>
          <w:sz w:val="28"/>
          <w:szCs w:val="28"/>
          <w:lang w:eastAsia="ar-SA" w:bidi="ar-IQ"/>
        </w:rPr>
      </w:pPr>
    </w:p>
    <w:p w:rsidR="004978F9" w:rsidRDefault="004978F9" w:rsidP="004978F9">
      <w:pPr>
        <w:rPr>
          <w:rFonts w:ascii="Times New Roman" w:eastAsia="Times New Roman" w:hAnsi="Times New Roman" w:cs="Times New Roman"/>
          <w:sz w:val="28"/>
          <w:szCs w:val="28"/>
          <w:lang w:eastAsia="ar-SA" w:bidi="ar-IQ"/>
        </w:rPr>
      </w:pPr>
      <w:r>
        <w:rPr>
          <w:rFonts w:ascii="Times New Roman" w:eastAsia="Times New Roman" w:hAnsi="Times New Roman" w:cs="Times New Roman"/>
          <w:sz w:val="28"/>
          <w:szCs w:val="28"/>
          <w:lang w:eastAsia="ar-SA" w:bidi="ar-IQ"/>
        </w:rPr>
        <w:br w:type="page"/>
      </w:r>
    </w:p>
    <w:p w:rsidR="004978F9" w:rsidRPr="00B67AA0" w:rsidRDefault="004978F9" w:rsidP="004978F9">
      <w:pPr>
        <w:tabs>
          <w:tab w:val="left" w:pos="4240"/>
        </w:tabs>
        <w:spacing w:after="0" w:line="360" w:lineRule="auto"/>
        <w:rPr>
          <w:rFonts w:ascii="Times New Roman" w:eastAsia="Times New Roman" w:hAnsi="Times New Roman" w:cs="Ali_K_Sahifa Bold"/>
          <w:sz w:val="28"/>
          <w:szCs w:val="28"/>
          <w:lang w:eastAsia="ar-SA" w:bidi="ar-IQ"/>
        </w:rPr>
      </w:pPr>
    </w:p>
    <w:p w:rsidR="004978F9" w:rsidRDefault="004978F9" w:rsidP="004978F9">
      <w:pPr>
        <w:spacing w:line="360" w:lineRule="auto"/>
        <w:jc w:val="both"/>
        <w:rPr>
          <w:rFonts w:ascii="Times New Roman" w:hAnsi="Times New Roman" w:cs="Times New Roman"/>
          <w:sz w:val="28"/>
          <w:szCs w:val="28"/>
        </w:rPr>
      </w:pPr>
    </w:p>
    <w:p w:rsidR="004978F9" w:rsidRDefault="004978F9" w:rsidP="004978F9">
      <w:pPr>
        <w:spacing w:line="360" w:lineRule="auto"/>
        <w:jc w:val="both"/>
        <w:rPr>
          <w:rFonts w:ascii="Times New Roman" w:hAnsi="Times New Roman" w:cs="Times New Roman"/>
          <w:sz w:val="28"/>
          <w:szCs w:val="28"/>
        </w:rPr>
      </w:pPr>
    </w:p>
    <w:p w:rsidR="004978F9" w:rsidRPr="00CE1C8C" w:rsidRDefault="004978F9" w:rsidP="004978F9">
      <w:pPr>
        <w:rPr>
          <w:rFonts w:ascii="Times New Roman" w:hAnsi="Times New Roman" w:cs="Times New Roman"/>
          <w:sz w:val="28"/>
          <w:szCs w:val="28"/>
        </w:rPr>
      </w:pPr>
      <w:r>
        <w:rPr>
          <w:rFonts w:ascii="Times New Roman" w:hAnsi="Times New Roman" w:cs="Times New Roman"/>
          <w:sz w:val="28"/>
          <w:szCs w:val="28"/>
        </w:rPr>
        <w:t xml:space="preserve">                                               </w:t>
      </w:r>
      <w:r w:rsidRPr="00CE1C8C">
        <w:rPr>
          <w:rFonts w:ascii="Segoe Print" w:eastAsia="Times New Roman" w:hAnsi="Segoe Print" w:cs="Ali_K_Sahifa Bold"/>
          <w:b/>
          <w:bCs/>
          <w:kern w:val="36"/>
          <w:sz w:val="32"/>
          <w:szCs w:val="32"/>
        </w:rPr>
        <w:t xml:space="preserve">Dedication </w:t>
      </w:r>
    </w:p>
    <w:p w:rsidR="004978F9" w:rsidRPr="00CE1C8C" w:rsidRDefault="004978F9" w:rsidP="004978F9">
      <w:pPr>
        <w:spacing w:line="360" w:lineRule="auto"/>
        <w:jc w:val="center"/>
        <w:rPr>
          <w:rFonts w:ascii="Segoe Print" w:eastAsia="Times New Roman" w:hAnsi="Segoe Print" w:cs="Ali_K_Sahifa Bold"/>
          <w:kern w:val="36"/>
          <w:sz w:val="28"/>
          <w:szCs w:val="28"/>
        </w:rPr>
      </w:pPr>
      <w:r w:rsidRPr="00CE1C8C">
        <w:rPr>
          <w:rFonts w:ascii="Segoe Print" w:eastAsia="Times New Roman" w:hAnsi="Segoe Print" w:cs="Ali_K_Sahifa Bold"/>
          <w:kern w:val="36"/>
          <w:sz w:val="28"/>
          <w:szCs w:val="28"/>
        </w:rPr>
        <w:t>To the memory of my father who always supported me, whatever path I took</w:t>
      </w:r>
      <w:r>
        <w:rPr>
          <w:rFonts w:ascii="Segoe Print" w:eastAsia="Times New Roman" w:hAnsi="Segoe Print" w:cs="Ali_K_Sahifa Bold"/>
          <w:kern w:val="36"/>
          <w:sz w:val="28"/>
          <w:szCs w:val="28"/>
        </w:rPr>
        <w:tab/>
      </w:r>
    </w:p>
    <w:p w:rsidR="004978F9" w:rsidRDefault="004978F9" w:rsidP="004978F9">
      <w:pPr>
        <w:spacing w:line="360" w:lineRule="auto"/>
        <w:jc w:val="center"/>
        <w:rPr>
          <w:rFonts w:ascii="Segoe Print" w:eastAsia="Times New Roman" w:hAnsi="Segoe Print" w:cs="Ali_K_Sahifa Bold"/>
          <w:kern w:val="36"/>
          <w:sz w:val="28"/>
          <w:szCs w:val="28"/>
        </w:rPr>
      </w:pPr>
      <w:r w:rsidRPr="00CE1C8C">
        <w:rPr>
          <w:rFonts w:ascii="Segoe Print" w:eastAsia="Times New Roman" w:hAnsi="Segoe Print" w:cs="Ali_K_Sahifa Bold"/>
          <w:kern w:val="36"/>
          <w:sz w:val="28"/>
          <w:szCs w:val="28"/>
        </w:rPr>
        <w:t>To the memory of my mother,</w:t>
      </w:r>
    </w:p>
    <w:p w:rsidR="004978F9" w:rsidRPr="00CE1C8C" w:rsidRDefault="004978F9" w:rsidP="004978F9">
      <w:pPr>
        <w:spacing w:line="360" w:lineRule="auto"/>
        <w:jc w:val="center"/>
        <w:rPr>
          <w:rFonts w:ascii="Segoe Print" w:eastAsia="Times New Roman" w:hAnsi="Segoe Print" w:cs="Ali_K_Sahifa Bold"/>
          <w:kern w:val="36"/>
          <w:sz w:val="28"/>
          <w:szCs w:val="28"/>
        </w:rPr>
      </w:pPr>
      <w:r w:rsidRPr="00CE1C8C">
        <w:rPr>
          <w:rFonts w:ascii="Segoe Print" w:eastAsia="Times New Roman" w:hAnsi="Segoe Print" w:cs="Ali_K_Sahifa Bold"/>
          <w:kern w:val="36"/>
          <w:sz w:val="28"/>
          <w:szCs w:val="28"/>
        </w:rPr>
        <w:t>My beloved</w:t>
      </w:r>
      <w:r>
        <w:rPr>
          <w:rFonts w:ascii="Segoe Print" w:eastAsia="Times New Roman" w:hAnsi="Segoe Print" w:cs="Ali_K_Sahifa Bold"/>
          <w:kern w:val="36"/>
          <w:sz w:val="28"/>
          <w:szCs w:val="28"/>
        </w:rPr>
        <w:t xml:space="preserve"> wife</w:t>
      </w:r>
    </w:p>
    <w:p w:rsidR="004978F9" w:rsidRPr="00CE1C8C" w:rsidRDefault="004978F9" w:rsidP="004978F9">
      <w:pPr>
        <w:spacing w:line="360" w:lineRule="auto"/>
        <w:jc w:val="center"/>
        <w:rPr>
          <w:rFonts w:ascii="Segoe Print" w:eastAsia="Times New Roman" w:hAnsi="Segoe Print" w:cs="Ali_K_Sahifa Bold"/>
          <w:kern w:val="36"/>
          <w:sz w:val="28"/>
          <w:szCs w:val="28"/>
        </w:rPr>
      </w:pPr>
      <w:r w:rsidRPr="00CE1C8C">
        <w:rPr>
          <w:rFonts w:ascii="Segoe Print" w:eastAsia="Times New Roman" w:hAnsi="Segoe Print" w:cs="Ali_K_Sahifa Bold"/>
          <w:kern w:val="36"/>
          <w:sz w:val="28"/>
          <w:szCs w:val="28"/>
        </w:rPr>
        <w:t>My beloved brother</w:t>
      </w:r>
      <w:r>
        <w:rPr>
          <w:rFonts w:ascii="Segoe Print" w:eastAsia="Times New Roman" w:hAnsi="Segoe Print" w:cs="Ali_K_Sahifa Bold"/>
          <w:kern w:val="36"/>
          <w:sz w:val="28"/>
          <w:szCs w:val="28"/>
        </w:rPr>
        <w:t>s</w:t>
      </w:r>
      <w:r w:rsidRPr="00CE1C8C">
        <w:rPr>
          <w:rFonts w:ascii="Segoe Print" w:eastAsia="Times New Roman" w:hAnsi="Segoe Print" w:cs="Ali_K_Sahifa Bold"/>
          <w:kern w:val="36"/>
          <w:sz w:val="28"/>
          <w:szCs w:val="28"/>
        </w:rPr>
        <w:t xml:space="preserve"> and sister</w:t>
      </w:r>
      <w:r>
        <w:rPr>
          <w:rFonts w:ascii="Segoe Print" w:eastAsia="Times New Roman" w:hAnsi="Segoe Print" w:cs="Ali_K_Sahifa Bold"/>
          <w:kern w:val="36"/>
          <w:sz w:val="28"/>
          <w:szCs w:val="28"/>
        </w:rPr>
        <w:t>s</w:t>
      </w:r>
    </w:p>
    <w:p w:rsidR="004978F9" w:rsidRPr="00CE1C8C" w:rsidRDefault="004978F9" w:rsidP="004978F9">
      <w:pPr>
        <w:spacing w:line="360" w:lineRule="auto"/>
        <w:jc w:val="center"/>
        <w:rPr>
          <w:rFonts w:ascii="Segoe Print" w:eastAsia="Times New Roman" w:hAnsi="Segoe Print" w:cs="Ali_K_Sahifa Bold"/>
          <w:kern w:val="36"/>
          <w:sz w:val="28"/>
          <w:szCs w:val="28"/>
        </w:rPr>
      </w:pPr>
      <w:r w:rsidRPr="00CE1C8C">
        <w:rPr>
          <w:rFonts w:ascii="Segoe Print" w:eastAsia="Times New Roman" w:hAnsi="Segoe Print" w:cs="Ali_K_Sahifa Bold"/>
          <w:kern w:val="36"/>
          <w:sz w:val="28"/>
          <w:szCs w:val="28"/>
        </w:rPr>
        <w:t>My friends</w:t>
      </w:r>
    </w:p>
    <w:p w:rsidR="004978F9" w:rsidRDefault="004978F9" w:rsidP="004978F9">
      <w:pPr>
        <w:spacing w:line="360" w:lineRule="auto"/>
        <w:jc w:val="center"/>
        <w:rPr>
          <w:rFonts w:ascii="Segoe Print" w:eastAsia="Times New Roman" w:hAnsi="Segoe Print" w:cs="Ali_K_Sahifa Bold"/>
          <w:kern w:val="36"/>
          <w:sz w:val="28"/>
          <w:szCs w:val="28"/>
        </w:rPr>
      </w:pPr>
      <w:r w:rsidRPr="00CE1C8C">
        <w:rPr>
          <w:rFonts w:ascii="Segoe Print" w:eastAsia="Times New Roman" w:hAnsi="Segoe Print" w:cs="Ali_K_Sahifa Bold"/>
          <w:kern w:val="36"/>
          <w:sz w:val="28"/>
          <w:szCs w:val="28"/>
        </w:rPr>
        <w:t>With love and respect</w:t>
      </w:r>
    </w:p>
    <w:p w:rsidR="004978F9" w:rsidRDefault="004978F9" w:rsidP="004978F9">
      <w:pPr>
        <w:rPr>
          <w:rFonts w:ascii="Segoe Print" w:eastAsia="Times New Roman" w:hAnsi="Segoe Print" w:cs="Ali_K_Sahifa Bold"/>
          <w:kern w:val="36"/>
          <w:sz w:val="28"/>
          <w:szCs w:val="28"/>
        </w:rPr>
      </w:pPr>
      <w:r>
        <w:rPr>
          <w:rFonts w:ascii="Segoe Print" w:eastAsia="Times New Roman" w:hAnsi="Segoe Print" w:cs="Ali_K_Sahifa Bold"/>
          <w:kern w:val="36"/>
          <w:sz w:val="28"/>
          <w:szCs w:val="28"/>
        </w:rPr>
        <w:br w:type="page"/>
      </w:r>
    </w:p>
    <w:p w:rsidR="004978F9" w:rsidRDefault="004978F9" w:rsidP="004978F9">
      <w:pPr>
        <w:spacing w:line="360" w:lineRule="auto"/>
        <w:jc w:val="center"/>
        <w:rPr>
          <w:rFonts w:ascii="Times New Roman" w:eastAsia="Times New Roman" w:hAnsi="Times New Roman" w:cs="Times New Roman"/>
          <w:b/>
          <w:bCs/>
          <w:kern w:val="36"/>
          <w:sz w:val="28"/>
          <w:szCs w:val="28"/>
        </w:rPr>
      </w:pPr>
      <w:r w:rsidRPr="007D76D7">
        <w:rPr>
          <w:rFonts w:ascii="Times New Roman" w:eastAsia="Times New Roman" w:hAnsi="Times New Roman" w:cs="Times New Roman"/>
          <w:b/>
          <w:bCs/>
          <w:kern w:val="36"/>
          <w:sz w:val="28"/>
          <w:szCs w:val="28"/>
        </w:rPr>
        <w:lastRenderedPageBreak/>
        <w:t xml:space="preserve">A CKNOWLEDGEMENTS </w:t>
      </w:r>
    </w:p>
    <w:p w:rsidR="004978F9" w:rsidRPr="007D76D7" w:rsidRDefault="004978F9" w:rsidP="004978F9">
      <w:pPr>
        <w:spacing w:line="360" w:lineRule="auto"/>
        <w:jc w:val="both"/>
        <w:rPr>
          <w:rFonts w:ascii="Times New Roman" w:eastAsia="Times New Roman" w:hAnsi="Times New Roman" w:cs="Times New Roman"/>
          <w:b/>
          <w:bCs/>
          <w:kern w:val="36"/>
          <w:sz w:val="28"/>
          <w:szCs w:val="28"/>
        </w:rPr>
      </w:pPr>
    </w:p>
    <w:p w:rsidR="004978F9" w:rsidRDefault="004978F9" w:rsidP="004978F9">
      <w:pPr>
        <w:spacing w:line="360" w:lineRule="auto"/>
        <w:jc w:val="both"/>
        <w:rPr>
          <w:rFonts w:ascii="Times New Roman" w:eastAsia="Times New Roman" w:hAnsi="Times New Roman" w:cs="Times New Roman"/>
          <w:kern w:val="36"/>
          <w:sz w:val="28"/>
          <w:szCs w:val="28"/>
        </w:rPr>
      </w:pPr>
      <w:r w:rsidRPr="00AD6BB2">
        <w:rPr>
          <w:rFonts w:ascii="Times New Roman" w:eastAsia="Times New Roman" w:hAnsi="Times New Roman" w:cs="Times New Roman"/>
          <w:kern w:val="36"/>
          <w:sz w:val="28"/>
          <w:szCs w:val="28"/>
        </w:rPr>
        <w:t>I want to express my heartfelt gratitude to all those who have played an essential role in the successful completion of this thesis. First and foremost, I extend my deepest appreciation to my dedicated advisor</w:t>
      </w:r>
      <w:r>
        <w:rPr>
          <w:rFonts w:ascii="Times New Roman" w:eastAsia="Times New Roman" w:hAnsi="Times New Roman" w:cs="Times New Roman"/>
          <w:kern w:val="36"/>
          <w:sz w:val="28"/>
          <w:szCs w:val="28"/>
        </w:rPr>
        <w:t xml:space="preserve"> </w:t>
      </w:r>
      <w:r w:rsidRPr="00000C89">
        <w:rPr>
          <w:rFonts w:ascii="Times New Roman" w:eastAsia="Times New Roman" w:hAnsi="Times New Roman" w:cs="Times New Roman"/>
          <w:kern w:val="36"/>
          <w:sz w:val="28"/>
          <w:szCs w:val="28"/>
        </w:rPr>
        <w:t>(</w:t>
      </w:r>
      <w:r w:rsidRPr="004B4CBF">
        <w:rPr>
          <w:rFonts w:ascii="Times New Roman" w:eastAsia="Times New Roman" w:hAnsi="Times New Roman" w:cs="Times New Roman"/>
          <w:kern w:val="36"/>
          <w:sz w:val="28"/>
          <w:szCs w:val="28"/>
        </w:rPr>
        <w:t>Assist. Prof. Ghassan Husni Ali</w:t>
      </w:r>
      <w:r w:rsidRPr="00000C89">
        <w:rPr>
          <w:rFonts w:ascii="Times New Roman" w:eastAsia="Times New Roman" w:hAnsi="Times New Roman" w:cs="Times New Roman"/>
          <w:kern w:val="36"/>
          <w:sz w:val="28"/>
          <w:szCs w:val="28"/>
        </w:rPr>
        <w:t>),</w:t>
      </w:r>
      <w:r w:rsidRPr="00AD6BB2">
        <w:rPr>
          <w:rFonts w:ascii="Times New Roman" w:eastAsia="Times New Roman" w:hAnsi="Times New Roman" w:cs="Times New Roman"/>
          <w:kern w:val="36"/>
          <w:sz w:val="28"/>
          <w:szCs w:val="28"/>
        </w:rPr>
        <w:t xml:space="preserve"> whose expertise, guidance, and unwavering support have been the cornerstone of this research endeavor. To my family, I owe an immense debt of gratitude. Their unshakable belief in my abilities and the continuous encouragement throughout this academic journey have been a constant source of motivation and strength.</w:t>
      </w:r>
      <w:r>
        <w:rPr>
          <w:rFonts w:ascii="Times New Roman" w:eastAsia="Times New Roman" w:hAnsi="Times New Roman" w:cs="Times New Roman"/>
          <w:kern w:val="36"/>
          <w:sz w:val="28"/>
          <w:szCs w:val="28"/>
        </w:rPr>
        <w:t xml:space="preserve"> </w:t>
      </w:r>
      <w:r w:rsidRPr="00DD7BEB">
        <w:rPr>
          <w:rFonts w:ascii="Times New Roman" w:eastAsia="Times New Roman" w:hAnsi="Times New Roman" w:cs="Times New Roman"/>
          <w:kern w:val="36"/>
          <w:sz w:val="28"/>
          <w:szCs w:val="28"/>
        </w:rPr>
        <w:t>I would like to express my deepest gratitude and appre</w:t>
      </w:r>
      <w:r>
        <w:rPr>
          <w:rFonts w:ascii="Times New Roman" w:eastAsia="Times New Roman" w:hAnsi="Times New Roman" w:cs="Times New Roman"/>
          <w:kern w:val="36"/>
          <w:sz w:val="28"/>
          <w:szCs w:val="28"/>
        </w:rPr>
        <w:t>ciation to my wife (Iman Ghafoor)</w:t>
      </w:r>
      <w:r w:rsidRPr="00DD7BEB">
        <w:rPr>
          <w:rFonts w:ascii="Times New Roman" w:eastAsia="Times New Roman" w:hAnsi="Times New Roman" w:cs="Times New Roman"/>
          <w:kern w:val="36"/>
          <w:sz w:val="28"/>
          <w:szCs w:val="28"/>
        </w:rPr>
        <w:t>, whose unwavering support and encouragement were instrumental in the completion</w:t>
      </w:r>
      <w:r>
        <w:rPr>
          <w:rFonts w:ascii="Times New Roman" w:eastAsia="Times New Roman" w:hAnsi="Times New Roman" w:cs="Times New Roman"/>
          <w:kern w:val="36"/>
          <w:sz w:val="28"/>
          <w:szCs w:val="28"/>
        </w:rPr>
        <w:t xml:space="preserve"> of this thesis. Her</w:t>
      </w:r>
      <w:r w:rsidRPr="00DD7BEB">
        <w:rPr>
          <w:rFonts w:ascii="Times New Roman" w:eastAsia="Times New Roman" w:hAnsi="Times New Roman" w:cs="Times New Roman"/>
          <w:kern w:val="36"/>
          <w:sz w:val="28"/>
          <w:szCs w:val="28"/>
        </w:rPr>
        <w:t xml:space="preserve"> patience, understanding, and constant belief in my abilities provided the foundation for my academic journey. I am truly fortunate to have such a loving and supportive partner by my side.</w:t>
      </w:r>
      <w:r w:rsidRPr="00AD6BB2">
        <w:rPr>
          <w:rFonts w:ascii="Times New Roman" w:eastAsia="Times New Roman" w:hAnsi="Times New Roman" w:cs="Times New Roman"/>
          <w:kern w:val="36"/>
          <w:sz w:val="28"/>
          <w:szCs w:val="28"/>
        </w:rPr>
        <w:t xml:space="preserve"> I am truly appreciative of the individuals who participated in this research</w:t>
      </w:r>
      <w:r>
        <w:rPr>
          <w:rFonts w:ascii="Times New Roman" w:eastAsia="Times New Roman" w:hAnsi="Times New Roman" w:cs="Times New Roman"/>
          <w:kern w:val="36"/>
          <w:sz w:val="28"/>
          <w:szCs w:val="28"/>
        </w:rPr>
        <w:t xml:space="preserve"> and the Radiologists from the Rizgary and Erbil teaching hospital and Balsam private hospital. </w:t>
      </w:r>
      <w:r w:rsidRPr="00000C89">
        <w:rPr>
          <w:rFonts w:ascii="Times New Roman" w:eastAsia="Times New Roman" w:hAnsi="Times New Roman" w:cs="Times New Roman"/>
          <w:kern w:val="36"/>
          <w:sz w:val="28"/>
          <w:szCs w:val="28"/>
        </w:rPr>
        <w:t>My truthful thanks are extended to Erbil Polytechnic University and the Deanery of Erbil Health and Medical Technical College for providing this opportunity to complete higher study and offering all requirements necessary to prepare this thesis. Most importantly, none of this would have been possible without Head of Physiotherapy Department (Dr. Mahdi Khaled Qadir) and my very special thanks goes to him.</w:t>
      </w:r>
    </w:p>
    <w:p w:rsidR="004978F9" w:rsidRPr="004B4CBF" w:rsidRDefault="004978F9" w:rsidP="004978F9">
      <w:pPr>
        <w:spacing w:line="360" w:lineRule="auto"/>
        <w:jc w:val="both"/>
        <w:rPr>
          <w:rFonts w:ascii="Times New Roman" w:eastAsia="Times New Roman" w:hAnsi="Times New Roman" w:cs="Times New Roman"/>
          <w:kern w:val="36"/>
          <w:sz w:val="28"/>
          <w:szCs w:val="28"/>
        </w:rPr>
      </w:pPr>
    </w:p>
    <w:p w:rsidR="004978F9" w:rsidRDefault="004978F9" w:rsidP="004978F9">
      <w:pPr>
        <w:spacing w:line="360" w:lineRule="auto"/>
        <w:jc w:val="both"/>
        <w:rPr>
          <w:rFonts w:ascii="Times New Roman" w:hAnsi="Times New Roman" w:cs="Times New Roman"/>
          <w:sz w:val="28"/>
          <w:szCs w:val="28"/>
        </w:rPr>
      </w:pPr>
    </w:p>
    <w:p w:rsidR="004978F9" w:rsidRPr="00B73251" w:rsidRDefault="004978F9" w:rsidP="004978F9">
      <w:pPr>
        <w:spacing w:line="360" w:lineRule="auto"/>
        <w:jc w:val="both"/>
        <w:rPr>
          <w:rFonts w:ascii="Times New Roman" w:hAnsi="Times New Roman" w:cs="Times New Roman"/>
          <w:b/>
          <w:bCs/>
          <w:i/>
          <w:iCs/>
          <w:sz w:val="28"/>
          <w:szCs w:val="28"/>
        </w:rPr>
      </w:pPr>
      <w:r w:rsidRPr="00B73251">
        <w:rPr>
          <w:rFonts w:ascii="Times New Roman" w:hAnsi="Times New Roman" w:cs="Times New Roman"/>
          <w:b/>
          <w:bCs/>
          <w:i/>
          <w:iCs/>
          <w:sz w:val="28"/>
          <w:szCs w:val="28"/>
        </w:rPr>
        <w:t xml:space="preserve">                                                                                                    ‘</w:t>
      </w:r>
      <w:r>
        <w:rPr>
          <w:rFonts w:ascii="Times New Roman" w:hAnsi="Times New Roman" w:cs="Times New Roman"/>
          <w:b/>
          <w:bCs/>
          <w:i/>
          <w:iCs/>
          <w:sz w:val="28"/>
          <w:szCs w:val="28"/>
        </w:rPr>
        <w:t>Mohammed</w:t>
      </w:r>
      <w:r w:rsidRPr="00B73251">
        <w:rPr>
          <w:rFonts w:ascii="Times New Roman" w:hAnsi="Times New Roman" w:cs="Times New Roman"/>
          <w:b/>
          <w:bCs/>
          <w:i/>
          <w:iCs/>
          <w:sz w:val="28"/>
          <w:szCs w:val="28"/>
        </w:rPr>
        <w:t>’</w:t>
      </w:r>
    </w:p>
    <w:p w:rsidR="004978F9" w:rsidRDefault="004978F9" w:rsidP="004978F9">
      <w:pPr>
        <w:spacing w:line="360" w:lineRule="auto"/>
        <w:jc w:val="both"/>
        <w:rPr>
          <w:rFonts w:ascii="Times New Roman" w:hAnsi="Times New Roman" w:cs="Times New Roman"/>
          <w:sz w:val="28"/>
          <w:szCs w:val="28"/>
        </w:rPr>
      </w:pPr>
    </w:p>
    <w:p w:rsidR="004978F9" w:rsidRPr="004C2EE4" w:rsidRDefault="004978F9" w:rsidP="004978F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978F9" w:rsidRPr="004978F9" w:rsidRDefault="004978F9" w:rsidP="004978F9">
      <w:pPr>
        <w:spacing w:line="360" w:lineRule="auto"/>
        <w:jc w:val="both"/>
        <w:rPr>
          <w:rFonts w:ascii="Times New Roman" w:eastAsia="Times New Roman" w:hAnsi="Times New Roman" w:cs="Times New Roman"/>
          <w:b/>
          <w:bCs/>
          <w:kern w:val="36"/>
          <w:sz w:val="32"/>
          <w:szCs w:val="32"/>
        </w:rPr>
      </w:pPr>
      <w:r w:rsidRPr="004978F9">
        <w:rPr>
          <w:rFonts w:ascii="Times New Roman" w:eastAsia="Times New Roman" w:hAnsi="Times New Roman" w:cs="Times New Roman"/>
          <w:b/>
          <w:bCs/>
          <w:kern w:val="36"/>
          <w:sz w:val="32"/>
          <w:szCs w:val="32"/>
        </w:rPr>
        <w:lastRenderedPageBreak/>
        <w:t xml:space="preserve">                                           Summary</w:t>
      </w:r>
    </w:p>
    <w:p w:rsidR="004978F9" w:rsidRPr="004978F9" w:rsidRDefault="004978F9" w:rsidP="004978F9">
      <w:pPr>
        <w:spacing w:line="360" w:lineRule="auto"/>
        <w:jc w:val="both"/>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Knee joint osteoarthritis (OA) is a degenerative joint disease where the knee's articular cartilage gradually deteriorates. This condition affects a large number of individuals globally and can result in substantial pain, restricted functionality, and alterations in joint structure. </w:t>
      </w:r>
    </w:p>
    <w:p w:rsidR="004978F9" w:rsidRPr="004978F9" w:rsidRDefault="004978F9" w:rsidP="004978F9">
      <w:pPr>
        <w:spacing w:line="360" w:lineRule="auto"/>
        <w:jc w:val="both"/>
        <w:rPr>
          <w:rFonts w:ascii="Times New Roman" w:eastAsia="Calibri" w:hAnsi="Times New Roman" w:cs="Times New Roman"/>
          <w:sz w:val="28"/>
          <w:szCs w:val="28"/>
        </w:rPr>
      </w:pPr>
      <w:r w:rsidRPr="004978F9">
        <w:rPr>
          <w:rFonts w:ascii="Times New Roman" w:eastAsia="Calibri" w:hAnsi="Times New Roman" w:cs="Times New Roman"/>
          <w:b/>
          <w:bCs/>
          <w:sz w:val="28"/>
          <w:szCs w:val="28"/>
        </w:rPr>
        <w:t>Aim of the study</w:t>
      </w:r>
      <w:r w:rsidRPr="004978F9">
        <w:rPr>
          <w:rFonts w:ascii="Times New Roman" w:eastAsia="Calibri" w:hAnsi="Times New Roman" w:cs="Times New Roman"/>
          <w:sz w:val="28"/>
          <w:szCs w:val="28"/>
        </w:rPr>
        <w:t>: To evaluate the effect of biomechanical alignment for patients with knee joint OA.</w:t>
      </w:r>
    </w:p>
    <w:p w:rsidR="004978F9" w:rsidRPr="004978F9" w:rsidRDefault="004978F9" w:rsidP="004978F9">
      <w:pPr>
        <w:spacing w:line="360" w:lineRule="auto"/>
        <w:jc w:val="both"/>
        <w:rPr>
          <w:rFonts w:ascii="Times New Roman" w:eastAsia="Calibri" w:hAnsi="Times New Roman" w:cs="Times New Roman"/>
          <w:sz w:val="28"/>
          <w:szCs w:val="28"/>
        </w:rPr>
      </w:pPr>
      <w:r w:rsidRPr="004978F9">
        <w:rPr>
          <w:rFonts w:ascii="Times New Roman" w:eastAsia="Calibri" w:hAnsi="Times New Roman" w:cs="Times New Roman"/>
          <w:b/>
          <w:bCs/>
          <w:sz w:val="28"/>
          <w:szCs w:val="28"/>
        </w:rPr>
        <w:t xml:space="preserve">Materials and Methods: </w:t>
      </w:r>
      <w:r w:rsidRPr="004978F9">
        <w:rPr>
          <w:rFonts w:ascii="Times New Roman" w:eastAsia="Calibri" w:hAnsi="Times New Roman" w:cs="Times New Roman"/>
          <w:sz w:val="28"/>
          <w:szCs w:val="28"/>
        </w:rPr>
        <w:t>40 patients were participated in this study, their ages between 30-80 years, both female and male. The patients were diagnosed by Rheumatologists and Orthopedists regarding their knee pain. The participants are divided into two groups: group A is experimental group 20 patients who underwent usual OA treatment with biomechanical intervention and group B is control group 20 patients who underwent usual OA treatment of physiotherapy and medication. The data was collected at Rizgary Teaching Hospital and Erbil Teaching Hospital during the period December 2021 to july 2023.</w:t>
      </w:r>
    </w:p>
    <w:p w:rsidR="004978F9" w:rsidRPr="004978F9" w:rsidRDefault="004978F9" w:rsidP="004978F9">
      <w:pPr>
        <w:spacing w:line="360" w:lineRule="auto"/>
        <w:jc w:val="both"/>
        <w:rPr>
          <w:rFonts w:ascii="Times New Roman" w:eastAsia="Calibri" w:hAnsi="Times New Roman" w:cs="Times New Roman"/>
          <w:sz w:val="28"/>
          <w:szCs w:val="28"/>
        </w:rPr>
      </w:pPr>
      <w:r w:rsidRPr="004978F9">
        <w:rPr>
          <w:rFonts w:ascii="Times New Roman" w:eastAsia="Calibri" w:hAnsi="Times New Roman" w:cs="Times New Roman"/>
          <w:b/>
          <w:bCs/>
          <w:sz w:val="28"/>
          <w:szCs w:val="28"/>
        </w:rPr>
        <w:t>Results:</w:t>
      </w:r>
      <w:r w:rsidRPr="004978F9">
        <w:rPr>
          <w:rFonts w:ascii="Calibri" w:eastAsia="Calibri" w:hAnsi="Calibri" w:cs="Arial"/>
        </w:rPr>
        <w:t xml:space="preserve"> </w:t>
      </w:r>
      <w:r w:rsidRPr="004978F9">
        <w:rPr>
          <w:rFonts w:ascii="Times New Roman" w:eastAsia="Calibri" w:hAnsi="Times New Roman" w:cs="Times New Roman"/>
          <w:sz w:val="28"/>
          <w:szCs w:val="28"/>
        </w:rPr>
        <w:t xml:space="preserve">The results showed that both groups were effective in decreasing pain and improving physical functions, in the study group the average of overall post pain score (1.10) is lower than the average of pre pain score (2.9) and the mean difference is (1.8). In the control group the average of overall post pain score (1.80) is lower than the average of pre pain score (2.7) and the mean difference is (0.9). It means that the study group is more effectively treated than the control group. </w:t>
      </w:r>
    </w:p>
    <w:p w:rsidR="004978F9" w:rsidRPr="004978F9" w:rsidRDefault="004978F9" w:rsidP="004978F9">
      <w:pPr>
        <w:spacing w:line="360" w:lineRule="auto"/>
        <w:jc w:val="both"/>
        <w:rPr>
          <w:rFonts w:ascii="Times New Roman" w:eastAsia="Calibri" w:hAnsi="Times New Roman" w:cs="Times New Roman"/>
          <w:sz w:val="28"/>
          <w:szCs w:val="28"/>
        </w:rPr>
      </w:pPr>
      <w:r w:rsidRPr="004978F9">
        <w:rPr>
          <w:rFonts w:ascii="Times New Roman" w:eastAsia="Calibri" w:hAnsi="Times New Roman" w:cs="Times New Roman"/>
          <w:b/>
          <w:bCs/>
          <w:sz w:val="28"/>
          <w:szCs w:val="28"/>
        </w:rPr>
        <w:t xml:space="preserve">Conclusion: </w:t>
      </w:r>
      <w:r w:rsidRPr="004978F9">
        <w:rPr>
          <w:rFonts w:ascii="Times New Roman" w:eastAsia="Calibri" w:hAnsi="Times New Roman" w:cs="Times New Roman"/>
          <w:sz w:val="28"/>
          <w:szCs w:val="28"/>
        </w:rPr>
        <w:t>The reduction of knee joint pain, improving physical activities and realign the malalignment of the knee joint after using lateral wedge outsole are demonstrated.</w:t>
      </w:r>
    </w:p>
    <w:p w:rsidR="004978F9" w:rsidRPr="004978F9" w:rsidRDefault="004978F9" w:rsidP="004978F9">
      <w:pPr>
        <w:spacing w:line="360" w:lineRule="auto"/>
        <w:jc w:val="both"/>
        <w:rPr>
          <w:rFonts w:ascii="Times New Roman" w:eastAsia="Calibri" w:hAnsi="Times New Roman" w:cs="Times New Roman"/>
          <w:sz w:val="28"/>
          <w:szCs w:val="28"/>
        </w:rPr>
      </w:pPr>
    </w:p>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lastRenderedPageBreak/>
        <w:t xml:space="preserve">                                                 List of contents</w:t>
      </w:r>
    </w:p>
    <w:tbl>
      <w:tblPr>
        <w:tblStyle w:val="TableGrid"/>
        <w:tblW w:w="7997" w:type="dxa"/>
        <w:tblInd w:w="53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67"/>
        <w:gridCol w:w="6209"/>
        <w:gridCol w:w="821"/>
      </w:tblGrid>
      <w:tr w:rsidR="004978F9" w:rsidRPr="004978F9" w:rsidTr="004978F9">
        <w:trPr>
          <w:trHeight w:val="494"/>
        </w:trPr>
        <w:tc>
          <w:tcPr>
            <w:tcW w:w="967" w:type="dxa"/>
            <w:shd w:val="clear" w:color="auto" w:fill="D9D9D9"/>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No.</w:t>
            </w:r>
          </w:p>
        </w:tc>
        <w:tc>
          <w:tcPr>
            <w:tcW w:w="6209" w:type="dxa"/>
            <w:shd w:val="clear" w:color="auto" w:fill="D9D9D9"/>
          </w:tcPr>
          <w:p w:rsidR="004978F9" w:rsidRPr="004978F9" w:rsidRDefault="004978F9" w:rsidP="004978F9">
            <w:pPr>
              <w:jc w:val="center"/>
              <w:rPr>
                <w:rFonts w:ascii="Times New Roman" w:eastAsia="Calibri" w:hAnsi="Times New Roman" w:cs="Times New Roman"/>
                <w:sz w:val="32"/>
                <w:szCs w:val="32"/>
              </w:rPr>
            </w:pPr>
            <w:r w:rsidRPr="004978F9">
              <w:rPr>
                <w:rFonts w:ascii="Times New Roman" w:eastAsia="Calibri" w:hAnsi="Times New Roman" w:cs="Times New Roman"/>
                <w:sz w:val="32"/>
                <w:szCs w:val="32"/>
              </w:rPr>
              <w:t xml:space="preserve">Titles </w:t>
            </w:r>
          </w:p>
        </w:tc>
        <w:tc>
          <w:tcPr>
            <w:tcW w:w="821" w:type="dxa"/>
            <w:shd w:val="clear" w:color="auto" w:fill="D9D9D9"/>
          </w:tcPr>
          <w:p w:rsidR="004978F9" w:rsidRPr="004978F9" w:rsidRDefault="004978F9" w:rsidP="004978F9">
            <w:pPr>
              <w:rPr>
                <w:rFonts w:ascii="Times New Roman" w:eastAsia="Calibri" w:hAnsi="Times New Roman" w:cs="Times New Roman"/>
                <w:sz w:val="32"/>
                <w:szCs w:val="32"/>
              </w:rPr>
            </w:pPr>
            <w:r w:rsidRPr="004978F9">
              <w:rPr>
                <w:rFonts w:ascii="Times New Roman" w:eastAsia="Calibri" w:hAnsi="Times New Roman" w:cs="Times New Roman"/>
                <w:sz w:val="32"/>
                <w:szCs w:val="32"/>
              </w:rPr>
              <w:t>page</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p>
        </w:tc>
        <w:tc>
          <w:tcPr>
            <w:tcW w:w="6209" w:type="dxa"/>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 xml:space="preserve">Summery </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I</w:t>
            </w:r>
          </w:p>
        </w:tc>
      </w:tr>
      <w:tr w:rsidR="004978F9" w:rsidRPr="004978F9" w:rsidTr="004978F9">
        <w:trPr>
          <w:trHeight w:val="494"/>
        </w:trPr>
        <w:tc>
          <w:tcPr>
            <w:tcW w:w="967" w:type="dxa"/>
          </w:tcPr>
          <w:p w:rsidR="004978F9" w:rsidRPr="004978F9" w:rsidRDefault="004978F9" w:rsidP="004978F9">
            <w:pPr>
              <w:rPr>
                <w:rFonts w:ascii="Times New Roman" w:eastAsia="Calibri" w:hAnsi="Times New Roman" w:cs="Times New Roman"/>
              </w:rPr>
            </w:pPr>
          </w:p>
        </w:tc>
        <w:tc>
          <w:tcPr>
            <w:tcW w:w="6209" w:type="dxa"/>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 xml:space="preserve">List of Contents </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II</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p>
        </w:tc>
        <w:tc>
          <w:tcPr>
            <w:tcW w:w="6209" w:type="dxa"/>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 xml:space="preserve">List of Figures </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IV</w:t>
            </w:r>
          </w:p>
        </w:tc>
      </w:tr>
      <w:tr w:rsidR="004978F9" w:rsidRPr="004978F9" w:rsidTr="004978F9">
        <w:trPr>
          <w:trHeight w:val="494"/>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rPr>
            </w:pP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 xml:space="preserve">List of Tables </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V</w:t>
            </w:r>
          </w:p>
        </w:tc>
      </w:tr>
      <w:tr w:rsidR="004978F9" w:rsidRPr="004978F9" w:rsidTr="004978F9">
        <w:trPr>
          <w:trHeight w:val="494"/>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rPr>
            </w:pP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List of Abbreviations</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VII</w:t>
            </w:r>
          </w:p>
        </w:tc>
      </w:tr>
      <w:tr w:rsidR="004978F9" w:rsidRPr="004978F9" w:rsidTr="004978F9">
        <w:trPr>
          <w:trHeight w:val="513"/>
        </w:trPr>
        <w:tc>
          <w:tcPr>
            <w:tcW w:w="967" w:type="dxa"/>
            <w:shd w:val="clear" w:color="auto" w:fill="D9D9D9"/>
          </w:tcPr>
          <w:p w:rsidR="004978F9" w:rsidRPr="004978F9" w:rsidRDefault="004978F9" w:rsidP="004978F9">
            <w:pPr>
              <w:rPr>
                <w:rFonts w:ascii="Times New Roman" w:eastAsia="Calibri" w:hAnsi="Times New Roman" w:cs="Times New Roman"/>
              </w:rPr>
            </w:pPr>
          </w:p>
        </w:tc>
        <w:tc>
          <w:tcPr>
            <w:tcW w:w="6209" w:type="dxa"/>
            <w:shd w:val="clear" w:color="auto" w:fill="D9D9D9"/>
          </w:tcPr>
          <w:p w:rsidR="004978F9" w:rsidRPr="004978F9" w:rsidRDefault="004978F9" w:rsidP="004978F9">
            <w:pPr>
              <w:jc w:val="center"/>
              <w:rPr>
                <w:rFonts w:ascii="Times New Roman" w:eastAsia="Calibri" w:hAnsi="Times New Roman" w:cs="Times New Roman"/>
                <w:b/>
                <w:bCs/>
                <w:sz w:val="32"/>
                <w:szCs w:val="32"/>
              </w:rPr>
            </w:pPr>
            <w:r w:rsidRPr="004978F9">
              <w:rPr>
                <w:rFonts w:ascii="Times New Roman" w:eastAsia="Calibri" w:hAnsi="Times New Roman" w:cs="Times New Roman"/>
                <w:b/>
                <w:bCs/>
                <w:sz w:val="32"/>
                <w:szCs w:val="32"/>
              </w:rPr>
              <w:t xml:space="preserve">Chapter One </w:t>
            </w:r>
          </w:p>
        </w:tc>
        <w:tc>
          <w:tcPr>
            <w:tcW w:w="821" w:type="dxa"/>
            <w:shd w:val="clear" w:color="auto" w:fill="D9D9D9"/>
          </w:tcPr>
          <w:p w:rsidR="004978F9" w:rsidRPr="004978F9" w:rsidRDefault="004978F9" w:rsidP="004978F9">
            <w:pPr>
              <w:rPr>
                <w:rFonts w:ascii="Times New Roman" w:eastAsia="Calibri" w:hAnsi="Times New Roman" w:cs="Times New Roman"/>
              </w:rPr>
            </w:pPr>
          </w:p>
        </w:tc>
      </w:tr>
      <w:tr w:rsidR="004978F9" w:rsidRPr="004978F9" w:rsidTr="004978F9">
        <w:trPr>
          <w:trHeight w:val="494"/>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1.</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 xml:space="preserve">Introduction </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w:t>
            </w:r>
          </w:p>
        </w:tc>
      </w:tr>
      <w:tr w:rsidR="004978F9" w:rsidRPr="004978F9" w:rsidTr="004978F9">
        <w:trPr>
          <w:trHeight w:val="494"/>
        </w:trPr>
        <w:tc>
          <w:tcPr>
            <w:tcW w:w="967" w:type="dxa"/>
            <w:shd w:val="clear" w:color="auto" w:fill="D9D9D9"/>
          </w:tcPr>
          <w:p w:rsidR="004978F9" w:rsidRPr="004978F9" w:rsidRDefault="004978F9" w:rsidP="004978F9">
            <w:pPr>
              <w:rPr>
                <w:rFonts w:ascii="Times New Roman" w:eastAsia="Calibri" w:hAnsi="Times New Roman" w:cs="Times New Roman"/>
                <w:sz w:val="28"/>
                <w:szCs w:val="28"/>
              </w:rPr>
            </w:pPr>
          </w:p>
        </w:tc>
        <w:tc>
          <w:tcPr>
            <w:tcW w:w="6209" w:type="dxa"/>
            <w:shd w:val="clear" w:color="auto" w:fill="D9D9D9"/>
          </w:tcPr>
          <w:p w:rsidR="004978F9" w:rsidRPr="004978F9" w:rsidRDefault="004978F9" w:rsidP="004978F9">
            <w:pPr>
              <w:jc w:val="center"/>
              <w:rPr>
                <w:rFonts w:ascii="Times New Roman" w:eastAsia="Calibri" w:hAnsi="Times New Roman" w:cs="Times New Roman"/>
                <w:b/>
                <w:bCs/>
                <w:sz w:val="32"/>
                <w:szCs w:val="32"/>
              </w:rPr>
            </w:pPr>
            <w:r w:rsidRPr="004978F9">
              <w:rPr>
                <w:rFonts w:ascii="Times New Roman" w:eastAsia="Calibri" w:hAnsi="Times New Roman" w:cs="Times New Roman"/>
                <w:b/>
                <w:bCs/>
                <w:sz w:val="32"/>
                <w:szCs w:val="32"/>
              </w:rPr>
              <w:t xml:space="preserve">Chapter two </w:t>
            </w:r>
          </w:p>
        </w:tc>
        <w:tc>
          <w:tcPr>
            <w:tcW w:w="821" w:type="dxa"/>
            <w:shd w:val="clear" w:color="auto" w:fill="D9D9D9"/>
          </w:tcPr>
          <w:p w:rsidR="004978F9" w:rsidRPr="004978F9" w:rsidRDefault="004978F9" w:rsidP="004978F9">
            <w:pPr>
              <w:rPr>
                <w:rFonts w:ascii="Times New Roman" w:eastAsia="Calibri" w:hAnsi="Times New Roman" w:cs="Times New Roman"/>
              </w:rPr>
            </w:pP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2.</w:t>
            </w:r>
          </w:p>
        </w:tc>
        <w:tc>
          <w:tcPr>
            <w:tcW w:w="6209" w:type="dxa"/>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Literature review</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2.1.</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History of Osteoarthritis</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2.2.</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Anatomy of the knee joint</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5</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2.3.</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Signs and symptoms of osteoarthritis</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8</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2.4.</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Risk Factors</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9</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2.5.</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Diagnosis of osteoarthritis</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10</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2.6.</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Biomechanical alignment</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10</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2.7.</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Advantages of Biomechanical Alignment</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11</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2.8.</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Disadvantages of Biomechanical Alignment</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12</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2.9.</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Malalignment</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13</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2.10.</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Varus malalignment</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17</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2.11.</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Valgus malalignment</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18</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2.12.</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Effect of biomechanic on body</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19</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2.13.</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Relation between biomechanic and osteoarthritis</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20</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2.14.</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Role of biomechanical alignment in managing Osteoarthritis</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21</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lastRenderedPageBreak/>
              <w:t>2.15.</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Literature</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23</w:t>
            </w:r>
          </w:p>
        </w:tc>
      </w:tr>
      <w:tr w:rsidR="004978F9" w:rsidRPr="004978F9" w:rsidTr="004978F9">
        <w:trPr>
          <w:trHeight w:val="513"/>
        </w:trPr>
        <w:tc>
          <w:tcPr>
            <w:tcW w:w="967" w:type="dxa"/>
            <w:shd w:val="clear" w:color="auto" w:fill="D9D9D9"/>
          </w:tcPr>
          <w:p w:rsidR="004978F9" w:rsidRPr="004978F9" w:rsidRDefault="004978F9" w:rsidP="004978F9">
            <w:pPr>
              <w:rPr>
                <w:rFonts w:ascii="Times New Roman" w:eastAsia="Calibri" w:hAnsi="Times New Roman" w:cs="Times New Roman"/>
              </w:rPr>
            </w:pPr>
          </w:p>
        </w:tc>
        <w:tc>
          <w:tcPr>
            <w:tcW w:w="6209" w:type="dxa"/>
            <w:shd w:val="clear" w:color="auto" w:fill="D9D9D9"/>
          </w:tcPr>
          <w:p w:rsidR="004978F9" w:rsidRPr="004978F9" w:rsidRDefault="004978F9" w:rsidP="004978F9">
            <w:pPr>
              <w:jc w:val="center"/>
              <w:rPr>
                <w:rFonts w:ascii="Times New Roman" w:eastAsia="Calibri" w:hAnsi="Times New Roman" w:cs="Times New Roman"/>
              </w:rPr>
            </w:pPr>
            <w:r w:rsidRPr="004978F9">
              <w:rPr>
                <w:rFonts w:ascii="Times New Roman" w:eastAsia="Calibri" w:hAnsi="Times New Roman" w:cs="Times New Roman"/>
                <w:b/>
                <w:bCs/>
                <w:sz w:val="32"/>
                <w:szCs w:val="32"/>
              </w:rPr>
              <w:t>Chapter three</w:t>
            </w:r>
          </w:p>
        </w:tc>
        <w:tc>
          <w:tcPr>
            <w:tcW w:w="821" w:type="dxa"/>
            <w:shd w:val="clear" w:color="auto" w:fill="D9D9D9"/>
          </w:tcPr>
          <w:p w:rsidR="004978F9" w:rsidRPr="004978F9" w:rsidRDefault="004978F9" w:rsidP="004978F9">
            <w:pPr>
              <w:jc w:val="center"/>
              <w:rPr>
                <w:rFonts w:ascii="Times New Roman" w:eastAsia="Calibri" w:hAnsi="Times New Roman" w:cs="Times New Roman"/>
                <w:sz w:val="28"/>
                <w:szCs w:val="28"/>
              </w:rPr>
            </w:pP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3.</w:t>
            </w:r>
          </w:p>
        </w:tc>
        <w:tc>
          <w:tcPr>
            <w:tcW w:w="6209" w:type="dxa"/>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Methodology</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28</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3.1.</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Methodology and data collection</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28</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3.2.</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Inclusion and exclusion criteria </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28</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3.3</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Intervention </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29</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3.4.</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Procedure </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30</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3.5.</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Western Ontario and McMaster Universities Osteoarthritis Index</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31</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3.6.</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Pain evaluation</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32</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3.7.</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statistical analysis</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32</w:t>
            </w:r>
          </w:p>
        </w:tc>
      </w:tr>
      <w:tr w:rsidR="004978F9" w:rsidRPr="004978F9" w:rsidTr="004978F9">
        <w:trPr>
          <w:trHeight w:val="513"/>
        </w:trPr>
        <w:tc>
          <w:tcPr>
            <w:tcW w:w="967" w:type="dxa"/>
            <w:shd w:val="clear" w:color="auto" w:fill="D9D9D9"/>
          </w:tcPr>
          <w:p w:rsidR="004978F9" w:rsidRPr="004978F9" w:rsidRDefault="004978F9" w:rsidP="004978F9">
            <w:pPr>
              <w:rPr>
                <w:rFonts w:ascii="Times New Roman" w:eastAsia="Calibri" w:hAnsi="Times New Roman" w:cs="Times New Roman"/>
              </w:rPr>
            </w:pPr>
          </w:p>
        </w:tc>
        <w:tc>
          <w:tcPr>
            <w:tcW w:w="6209" w:type="dxa"/>
            <w:shd w:val="clear" w:color="auto" w:fill="D9D9D9"/>
          </w:tcPr>
          <w:p w:rsidR="004978F9" w:rsidRPr="004978F9" w:rsidRDefault="004978F9" w:rsidP="004978F9">
            <w:pPr>
              <w:jc w:val="center"/>
              <w:rPr>
                <w:rFonts w:ascii="Times New Roman" w:eastAsia="Calibri" w:hAnsi="Times New Roman" w:cs="Times New Roman"/>
                <w:b/>
                <w:bCs/>
                <w:sz w:val="32"/>
                <w:szCs w:val="32"/>
              </w:rPr>
            </w:pPr>
            <w:r w:rsidRPr="004978F9">
              <w:rPr>
                <w:rFonts w:ascii="Times New Roman" w:eastAsia="Calibri" w:hAnsi="Times New Roman" w:cs="Times New Roman"/>
                <w:b/>
                <w:bCs/>
                <w:sz w:val="32"/>
                <w:szCs w:val="32"/>
              </w:rPr>
              <w:t>Chapter Four</w:t>
            </w:r>
          </w:p>
        </w:tc>
        <w:tc>
          <w:tcPr>
            <w:tcW w:w="821" w:type="dxa"/>
            <w:shd w:val="clear" w:color="auto" w:fill="D9D9D9"/>
          </w:tcPr>
          <w:p w:rsidR="004978F9" w:rsidRPr="004978F9" w:rsidRDefault="004978F9" w:rsidP="004978F9">
            <w:pPr>
              <w:jc w:val="center"/>
              <w:rPr>
                <w:rFonts w:ascii="Times New Roman" w:eastAsia="Calibri" w:hAnsi="Times New Roman" w:cs="Times New Roman"/>
                <w:sz w:val="28"/>
                <w:szCs w:val="28"/>
              </w:rPr>
            </w:pP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4.</w:t>
            </w:r>
          </w:p>
        </w:tc>
        <w:tc>
          <w:tcPr>
            <w:tcW w:w="6209" w:type="dxa"/>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 xml:space="preserve">Results </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33</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4.1.</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Introduction </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33</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4.2.</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Descriptive Statistics</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33</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4.3.</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Instrument of Reliability Test</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38</w:t>
            </w: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4.4.</w:t>
            </w:r>
          </w:p>
        </w:tc>
        <w:tc>
          <w:tcPr>
            <w:tcW w:w="6209"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Paired Sample T Test</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43</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rPr>
            </w:pPr>
            <w:r w:rsidRPr="004978F9">
              <w:rPr>
                <w:rFonts w:ascii="Times New Roman" w:eastAsia="Calibri" w:hAnsi="Times New Roman" w:cs="Times New Roman"/>
              </w:rPr>
              <w:t>4.2.</w:t>
            </w: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Discussion</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52</w:t>
            </w:r>
          </w:p>
        </w:tc>
      </w:tr>
      <w:tr w:rsidR="004978F9" w:rsidRPr="004978F9" w:rsidTr="004978F9">
        <w:trPr>
          <w:trHeight w:val="513"/>
        </w:trPr>
        <w:tc>
          <w:tcPr>
            <w:tcW w:w="967" w:type="dxa"/>
            <w:shd w:val="clear" w:color="auto" w:fill="D9D9D9"/>
          </w:tcPr>
          <w:p w:rsidR="004978F9" w:rsidRPr="004978F9" w:rsidRDefault="004978F9" w:rsidP="004978F9">
            <w:pPr>
              <w:rPr>
                <w:rFonts w:ascii="Times New Roman" w:eastAsia="Calibri" w:hAnsi="Times New Roman" w:cs="Times New Roman"/>
              </w:rPr>
            </w:pPr>
          </w:p>
        </w:tc>
        <w:tc>
          <w:tcPr>
            <w:tcW w:w="6209" w:type="dxa"/>
            <w:shd w:val="clear" w:color="auto" w:fill="D9D9D9"/>
          </w:tcPr>
          <w:p w:rsidR="004978F9" w:rsidRPr="004978F9" w:rsidRDefault="004978F9" w:rsidP="004978F9">
            <w:pPr>
              <w:jc w:val="center"/>
              <w:rPr>
                <w:rFonts w:ascii="Times New Roman" w:eastAsia="Calibri" w:hAnsi="Times New Roman" w:cs="Times New Roman"/>
                <w:b/>
                <w:bCs/>
                <w:sz w:val="32"/>
                <w:szCs w:val="32"/>
              </w:rPr>
            </w:pPr>
            <w:r w:rsidRPr="004978F9">
              <w:rPr>
                <w:rFonts w:ascii="Times New Roman" w:eastAsia="Calibri" w:hAnsi="Times New Roman" w:cs="Times New Roman"/>
                <w:b/>
                <w:bCs/>
                <w:sz w:val="32"/>
                <w:szCs w:val="32"/>
              </w:rPr>
              <w:t>Chapter Five</w:t>
            </w:r>
          </w:p>
        </w:tc>
        <w:tc>
          <w:tcPr>
            <w:tcW w:w="821" w:type="dxa"/>
            <w:shd w:val="clear" w:color="auto" w:fill="D9D9D9"/>
          </w:tcPr>
          <w:p w:rsidR="004978F9" w:rsidRPr="004978F9" w:rsidRDefault="004978F9" w:rsidP="004978F9">
            <w:pPr>
              <w:jc w:val="center"/>
              <w:rPr>
                <w:rFonts w:ascii="Times New Roman" w:eastAsia="Calibri" w:hAnsi="Times New Roman" w:cs="Times New Roman"/>
                <w:sz w:val="28"/>
                <w:szCs w:val="28"/>
              </w:rPr>
            </w:pPr>
          </w:p>
        </w:tc>
      </w:tr>
      <w:tr w:rsidR="004978F9" w:rsidRPr="004978F9" w:rsidTr="004978F9">
        <w:trPr>
          <w:trHeight w:val="513"/>
        </w:trPr>
        <w:tc>
          <w:tcPr>
            <w:tcW w:w="967" w:type="dxa"/>
          </w:tcPr>
          <w:p w:rsidR="004978F9" w:rsidRPr="004978F9" w:rsidRDefault="004978F9" w:rsidP="004978F9">
            <w:pPr>
              <w:rPr>
                <w:rFonts w:ascii="Times New Roman" w:eastAsia="Calibri" w:hAnsi="Times New Roman" w:cs="Times New Roman"/>
              </w:rPr>
            </w:pPr>
          </w:p>
        </w:tc>
        <w:tc>
          <w:tcPr>
            <w:tcW w:w="6209" w:type="dxa"/>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Conclusions</w:t>
            </w:r>
          </w:p>
        </w:tc>
        <w:tc>
          <w:tcPr>
            <w:tcW w:w="821"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58</w:t>
            </w:r>
          </w:p>
        </w:tc>
      </w:tr>
      <w:tr w:rsidR="004978F9" w:rsidRPr="004978F9" w:rsidTr="004978F9">
        <w:trPr>
          <w:trHeight w:val="513"/>
        </w:trPr>
        <w:tc>
          <w:tcPr>
            <w:tcW w:w="967" w:type="dxa"/>
            <w:tcBorders>
              <w:bottom w:val="single" w:sz="18" w:space="0" w:color="000000"/>
            </w:tcBorders>
          </w:tcPr>
          <w:p w:rsidR="004978F9" w:rsidRPr="004978F9" w:rsidRDefault="004978F9" w:rsidP="004978F9">
            <w:pPr>
              <w:rPr>
                <w:rFonts w:ascii="Times New Roman" w:eastAsia="Calibri" w:hAnsi="Times New Roman" w:cs="Times New Roman"/>
              </w:rPr>
            </w:pPr>
          </w:p>
        </w:tc>
        <w:tc>
          <w:tcPr>
            <w:tcW w:w="6209" w:type="dxa"/>
            <w:tcBorders>
              <w:bottom w:val="single" w:sz="18" w:space="0" w:color="000000"/>
            </w:tcBorders>
          </w:tcPr>
          <w:p w:rsidR="004978F9" w:rsidRPr="004978F9" w:rsidRDefault="004978F9" w:rsidP="004978F9">
            <w:pP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Recommendations</w:t>
            </w:r>
          </w:p>
        </w:tc>
        <w:tc>
          <w:tcPr>
            <w:tcW w:w="821" w:type="dxa"/>
            <w:tcBorders>
              <w:bottom w:val="single" w:sz="18" w:space="0" w:color="000000"/>
            </w:tcBorders>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58</w:t>
            </w:r>
          </w:p>
        </w:tc>
      </w:tr>
      <w:tr w:rsidR="004978F9" w:rsidRPr="004978F9" w:rsidTr="004978F9">
        <w:trPr>
          <w:trHeight w:val="513"/>
        </w:trPr>
        <w:tc>
          <w:tcPr>
            <w:tcW w:w="967" w:type="dxa"/>
            <w:shd w:val="clear" w:color="auto" w:fill="D9D9D9"/>
          </w:tcPr>
          <w:p w:rsidR="004978F9" w:rsidRPr="004978F9" w:rsidRDefault="004978F9" w:rsidP="004978F9">
            <w:pPr>
              <w:rPr>
                <w:rFonts w:ascii="Times New Roman" w:eastAsia="Calibri" w:hAnsi="Times New Roman" w:cs="Times New Roman"/>
                <w:b/>
                <w:bCs/>
                <w:sz w:val="32"/>
                <w:szCs w:val="32"/>
              </w:rPr>
            </w:pPr>
          </w:p>
        </w:tc>
        <w:tc>
          <w:tcPr>
            <w:tcW w:w="6209" w:type="dxa"/>
            <w:shd w:val="clear" w:color="auto" w:fill="D9D9D9"/>
          </w:tcPr>
          <w:p w:rsidR="004978F9" w:rsidRPr="004978F9" w:rsidRDefault="004978F9" w:rsidP="004978F9">
            <w:pPr>
              <w:tabs>
                <w:tab w:val="left" w:pos="1224"/>
              </w:tabs>
              <w:jc w:val="center"/>
              <w:rPr>
                <w:rFonts w:ascii="Times New Roman" w:eastAsia="Calibri" w:hAnsi="Times New Roman" w:cs="Times New Roman"/>
                <w:b/>
                <w:bCs/>
                <w:sz w:val="32"/>
                <w:szCs w:val="32"/>
              </w:rPr>
            </w:pPr>
            <w:r w:rsidRPr="004978F9">
              <w:rPr>
                <w:rFonts w:ascii="Times New Roman" w:eastAsia="Calibri" w:hAnsi="Times New Roman" w:cs="Times New Roman"/>
                <w:b/>
                <w:bCs/>
                <w:sz w:val="32"/>
                <w:szCs w:val="32"/>
              </w:rPr>
              <w:t xml:space="preserve">Reference </w:t>
            </w:r>
          </w:p>
        </w:tc>
        <w:tc>
          <w:tcPr>
            <w:tcW w:w="821" w:type="dxa"/>
            <w:shd w:val="clear" w:color="auto" w:fill="D9D9D9"/>
          </w:tcPr>
          <w:p w:rsidR="004978F9" w:rsidRPr="004978F9" w:rsidRDefault="004978F9" w:rsidP="004978F9">
            <w:pPr>
              <w:rPr>
                <w:rFonts w:ascii="Times New Roman" w:eastAsia="Calibri" w:hAnsi="Times New Roman" w:cs="Times New Roman"/>
                <w:b/>
                <w:bCs/>
                <w:sz w:val="32"/>
                <w:szCs w:val="32"/>
              </w:rPr>
            </w:pPr>
          </w:p>
        </w:tc>
      </w:tr>
    </w:tbl>
    <w:p w:rsidR="004978F9" w:rsidRPr="004978F9" w:rsidRDefault="004978F9" w:rsidP="004978F9">
      <w:pPr>
        <w:rPr>
          <w:rFonts w:ascii="Times New Roman" w:eastAsia="Calibri" w:hAnsi="Times New Roman" w:cs="Times New Roman"/>
          <w:sz w:val="28"/>
          <w:szCs w:val="28"/>
        </w:rPr>
      </w:pPr>
    </w:p>
    <w:p w:rsidR="004978F9" w:rsidRPr="004978F9" w:rsidRDefault="004978F9" w:rsidP="004978F9">
      <w:pPr>
        <w:rPr>
          <w:rFonts w:ascii="Times New Roman" w:eastAsia="Calibri" w:hAnsi="Times New Roman" w:cs="Times New Roman"/>
          <w:sz w:val="28"/>
          <w:szCs w:val="28"/>
        </w:rPr>
      </w:pPr>
    </w:p>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                                            </w:t>
      </w:r>
    </w:p>
    <w:p w:rsidR="004978F9" w:rsidRPr="004978F9" w:rsidRDefault="004978F9" w:rsidP="004978F9">
      <w:pPr>
        <w:rPr>
          <w:rFonts w:ascii="Times New Roman" w:eastAsia="Calibri" w:hAnsi="Times New Roman" w:cs="Times New Roman"/>
          <w:sz w:val="28"/>
          <w:szCs w:val="28"/>
        </w:rPr>
      </w:pPr>
    </w:p>
    <w:p w:rsidR="004978F9" w:rsidRPr="004978F9" w:rsidRDefault="004978F9" w:rsidP="004978F9">
      <w:pPr>
        <w:rPr>
          <w:rFonts w:ascii="Times New Roman" w:eastAsia="Calibri" w:hAnsi="Times New Roman" w:cs="Times New Roman"/>
          <w:sz w:val="28"/>
          <w:szCs w:val="28"/>
        </w:rPr>
      </w:pPr>
    </w:p>
    <w:p w:rsidR="004978F9" w:rsidRPr="004978F9" w:rsidRDefault="004978F9" w:rsidP="004978F9">
      <w:pPr>
        <w:jc w:val="cente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List of Figures</w:t>
      </w:r>
    </w:p>
    <w:tbl>
      <w:tblPr>
        <w:tblStyle w:val="TableGrid"/>
        <w:tblW w:w="0" w:type="auto"/>
        <w:tblInd w:w="5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967"/>
        <w:gridCol w:w="6210"/>
        <w:gridCol w:w="870"/>
      </w:tblGrid>
      <w:tr w:rsidR="004978F9" w:rsidRPr="004978F9" w:rsidTr="004978F9">
        <w:tc>
          <w:tcPr>
            <w:tcW w:w="967" w:type="dxa"/>
            <w:shd w:val="clear" w:color="auto" w:fill="D9D9D9"/>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Figure</w:t>
            </w:r>
          </w:p>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No.</w:t>
            </w:r>
          </w:p>
        </w:tc>
        <w:tc>
          <w:tcPr>
            <w:tcW w:w="6210" w:type="dxa"/>
            <w:shd w:val="clear" w:color="auto" w:fill="D9D9D9"/>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Figures  title </w:t>
            </w:r>
          </w:p>
        </w:tc>
        <w:tc>
          <w:tcPr>
            <w:tcW w:w="870" w:type="dxa"/>
            <w:shd w:val="clear" w:color="auto" w:fill="D9D9D9"/>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Pages </w:t>
            </w:r>
          </w:p>
        </w:tc>
      </w:tr>
      <w:tr w:rsidR="004978F9" w:rsidRPr="004978F9" w:rsidTr="004978F9">
        <w:trPr>
          <w:trHeight w:val="391"/>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2.1.</w:t>
            </w:r>
          </w:p>
        </w:tc>
        <w:tc>
          <w:tcPr>
            <w:tcW w:w="6210" w:type="dxa"/>
          </w:tcPr>
          <w:p w:rsidR="004978F9" w:rsidRPr="004978F9" w:rsidRDefault="004978F9" w:rsidP="004978F9">
            <w:pPr>
              <w:spacing w:line="360" w:lineRule="auto"/>
              <w:rPr>
                <w:rFonts w:ascii="Times New Roman" w:eastAsia="Calibri" w:hAnsi="Times New Roman" w:cs="Times New Roman"/>
                <w:sz w:val="24"/>
                <w:szCs w:val="24"/>
              </w:rPr>
            </w:pPr>
            <w:r w:rsidRPr="004978F9">
              <w:rPr>
                <w:rFonts w:ascii="Times New Roman" w:eastAsia="Calibri" w:hAnsi="Times New Roman" w:cs="Times New Roman"/>
                <w:sz w:val="28"/>
                <w:szCs w:val="28"/>
              </w:rPr>
              <w:t>Anatomy of the knee joint.</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6</w:t>
            </w:r>
          </w:p>
        </w:tc>
      </w:tr>
      <w:tr w:rsidR="004978F9" w:rsidRPr="004978F9" w:rsidTr="004978F9">
        <w:trPr>
          <w:trHeight w:val="406"/>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2</w:t>
            </w:r>
            <w:r w:rsidRPr="004978F9">
              <w:rPr>
                <w:rFonts w:ascii="Calibri" w:eastAsia="Calibri" w:hAnsi="Calibri" w:cs="Arial"/>
                <w:sz w:val="28"/>
                <w:szCs w:val="28"/>
              </w:rPr>
              <w:t>.2.</w:t>
            </w:r>
          </w:p>
        </w:tc>
        <w:tc>
          <w:tcPr>
            <w:tcW w:w="6210" w:type="dxa"/>
          </w:tcPr>
          <w:p w:rsidR="004978F9" w:rsidRPr="004978F9" w:rsidRDefault="004978F9" w:rsidP="004978F9">
            <w:pPr>
              <w:rPr>
                <w:rFonts w:ascii="Times New Roman" w:eastAsia="Calibri" w:hAnsi="Times New Roman" w:cs="Times New Roman"/>
                <w:color w:val="000000"/>
                <w:sz w:val="28"/>
                <w:szCs w:val="28"/>
              </w:rPr>
            </w:pPr>
            <w:r w:rsidRPr="004978F9">
              <w:rPr>
                <w:rFonts w:ascii="Times New Roman" w:eastAsia="Calibri" w:hAnsi="Times New Roman" w:cs="Times New Roman"/>
                <w:sz w:val="28"/>
                <w:szCs w:val="28"/>
              </w:rPr>
              <w:t>Malalignment.</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14</w:t>
            </w:r>
          </w:p>
        </w:tc>
      </w:tr>
      <w:tr w:rsidR="004978F9" w:rsidRPr="004978F9" w:rsidTr="004978F9">
        <w:trPr>
          <w:trHeight w:val="454"/>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3</w:t>
            </w:r>
            <w:r w:rsidRPr="004978F9">
              <w:rPr>
                <w:rFonts w:ascii="Calibri" w:eastAsia="Calibri" w:hAnsi="Calibri" w:cs="Arial"/>
                <w:sz w:val="28"/>
                <w:szCs w:val="28"/>
              </w:rPr>
              <w:t>.1.</w:t>
            </w:r>
          </w:p>
        </w:tc>
        <w:tc>
          <w:tcPr>
            <w:tcW w:w="6210" w:type="dxa"/>
          </w:tcPr>
          <w:p w:rsidR="004978F9" w:rsidRPr="004978F9" w:rsidRDefault="004978F9" w:rsidP="004978F9">
            <w:pPr>
              <w:rPr>
                <w:rFonts w:ascii="Times New Roman" w:eastAsia="Calibri" w:hAnsi="Times New Roman" w:cs="Times New Roman"/>
                <w:color w:val="000000"/>
                <w:sz w:val="28"/>
                <w:szCs w:val="28"/>
              </w:rPr>
            </w:pPr>
            <w:r w:rsidRPr="004978F9">
              <w:rPr>
                <w:rFonts w:ascii="Times New Roman" w:eastAsia="Calibri" w:hAnsi="Times New Roman" w:cs="Times New Roman"/>
                <w:color w:val="000000"/>
                <w:sz w:val="28"/>
                <w:szCs w:val="28"/>
              </w:rPr>
              <w:t>Lateral wedge outsole.</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29</w:t>
            </w:r>
          </w:p>
        </w:tc>
      </w:tr>
      <w:tr w:rsidR="004978F9" w:rsidRPr="004978F9" w:rsidTr="004978F9">
        <w:trPr>
          <w:trHeight w:val="448"/>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3.2.</w:t>
            </w:r>
          </w:p>
        </w:tc>
        <w:tc>
          <w:tcPr>
            <w:tcW w:w="6210" w:type="dxa"/>
          </w:tcPr>
          <w:p w:rsidR="004978F9" w:rsidRPr="004978F9" w:rsidRDefault="004978F9" w:rsidP="004978F9">
            <w:pPr>
              <w:tabs>
                <w:tab w:val="left" w:pos="3273"/>
              </w:tabs>
              <w:jc w:val="both"/>
              <w:rPr>
                <w:rFonts w:ascii="Times New Roman" w:eastAsia="Calibri" w:hAnsi="Times New Roman" w:cs="Times New Roman"/>
                <w:noProof/>
                <w:color w:val="000000"/>
                <w:sz w:val="28"/>
                <w:szCs w:val="28"/>
              </w:rPr>
            </w:pPr>
            <w:r w:rsidRPr="004978F9">
              <w:rPr>
                <w:rFonts w:ascii="Times New Roman" w:eastAsia="Calibri" w:hAnsi="Times New Roman" w:cs="Times New Roman"/>
                <w:noProof/>
                <w:color w:val="000000"/>
                <w:sz w:val="28"/>
                <w:szCs w:val="28"/>
              </w:rPr>
              <w:t>Pain scale.</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30</w:t>
            </w:r>
          </w:p>
        </w:tc>
      </w:tr>
      <w:tr w:rsidR="004978F9" w:rsidRPr="004978F9" w:rsidTr="004978F9">
        <w:trPr>
          <w:trHeight w:val="470"/>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4.1.</w:t>
            </w:r>
          </w:p>
        </w:tc>
        <w:tc>
          <w:tcPr>
            <w:tcW w:w="6210" w:type="dxa"/>
          </w:tcPr>
          <w:p w:rsidR="004978F9" w:rsidRPr="004978F9" w:rsidRDefault="004978F9" w:rsidP="004978F9">
            <w:pPr>
              <w:rPr>
                <w:rFonts w:ascii="Times New Roman" w:eastAsia="Calibri" w:hAnsi="Times New Roman" w:cs="Times New Roman"/>
                <w:color w:val="000000"/>
                <w:sz w:val="28"/>
                <w:szCs w:val="28"/>
              </w:rPr>
            </w:pPr>
            <w:r w:rsidRPr="004978F9">
              <w:rPr>
                <w:rFonts w:ascii="Times New Roman" w:eastAsia="Calibri" w:hAnsi="Times New Roman" w:cs="Times New Roman"/>
                <w:color w:val="000000"/>
                <w:sz w:val="28"/>
                <w:szCs w:val="28"/>
              </w:rPr>
              <w:t>Percentage to show age of participants.</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35</w:t>
            </w:r>
          </w:p>
        </w:tc>
      </w:tr>
      <w:tr w:rsidR="004978F9" w:rsidRPr="004978F9" w:rsidTr="004978F9">
        <w:trPr>
          <w:trHeight w:val="517"/>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4.2.</w:t>
            </w:r>
          </w:p>
        </w:tc>
        <w:tc>
          <w:tcPr>
            <w:tcW w:w="6210" w:type="dxa"/>
          </w:tcPr>
          <w:p w:rsidR="004978F9" w:rsidRPr="004978F9" w:rsidRDefault="004978F9" w:rsidP="004978F9">
            <w:pPr>
              <w:rPr>
                <w:rFonts w:ascii="Times New Roman" w:eastAsia="Calibri" w:hAnsi="Times New Roman" w:cs="Times New Roman"/>
                <w:noProof/>
                <w:color w:val="000000"/>
                <w:sz w:val="28"/>
                <w:szCs w:val="28"/>
              </w:rPr>
            </w:pPr>
            <w:r w:rsidRPr="004978F9">
              <w:rPr>
                <w:rFonts w:ascii="Times New Roman" w:eastAsia="Calibri" w:hAnsi="Times New Roman" w:cs="Times New Roman"/>
                <w:noProof/>
                <w:color w:val="000000"/>
                <w:sz w:val="28"/>
                <w:szCs w:val="28"/>
              </w:rPr>
              <w:t>Percentage to show gender of participants.</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35</w:t>
            </w:r>
          </w:p>
        </w:tc>
      </w:tr>
      <w:tr w:rsidR="004978F9" w:rsidRPr="004978F9" w:rsidTr="004978F9">
        <w:trPr>
          <w:trHeight w:val="438"/>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4.3.</w:t>
            </w:r>
          </w:p>
        </w:tc>
        <w:tc>
          <w:tcPr>
            <w:tcW w:w="6210" w:type="dxa"/>
          </w:tcPr>
          <w:p w:rsidR="004978F9" w:rsidRPr="004978F9" w:rsidRDefault="004978F9" w:rsidP="004978F9">
            <w:pPr>
              <w:rPr>
                <w:rFonts w:ascii="Times New Roman" w:eastAsia="Calibri" w:hAnsi="Times New Roman" w:cs="Times New Roman"/>
                <w:noProof/>
                <w:color w:val="000000"/>
                <w:sz w:val="28"/>
                <w:szCs w:val="28"/>
              </w:rPr>
            </w:pPr>
            <w:r w:rsidRPr="004978F9">
              <w:rPr>
                <w:rFonts w:ascii="Times New Roman" w:eastAsia="Calibri" w:hAnsi="Times New Roman" w:cs="Times New Roman"/>
                <w:noProof/>
                <w:color w:val="000000"/>
                <w:sz w:val="28"/>
                <w:szCs w:val="28"/>
              </w:rPr>
              <w:t>Percentage to show BMI of participants.</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36</w:t>
            </w:r>
          </w:p>
        </w:tc>
      </w:tr>
      <w:tr w:rsidR="004978F9" w:rsidRPr="004978F9" w:rsidTr="004978F9">
        <w:trPr>
          <w:trHeight w:val="384"/>
        </w:trPr>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4.4.</w:t>
            </w:r>
          </w:p>
        </w:tc>
        <w:tc>
          <w:tcPr>
            <w:tcW w:w="6210" w:type="dxa"/>
          </w:tcPr>
          <w:p w:rsidR="004978F9" w:rsidRPr="004978F9" w:rsidRDefault="004978F9" w:rsidP="004978F9">
            <w:pPr>
              <w:spacing w:after="200"/>
              <w:rPr>
                <w:rFonts w:ascii="Times New Roman" w:eastAsia="Calibri" w:hAnsi="Times New Roman" w:cs="Times New Roman"/>
                <w:noProof/>
                <w:color w:val="000000"/>
                <w:sz w:val="28"/>
                <w:szCs w:val="28"/>
              </w:rPr>
            </w:pPr>
            <w:r w:rsidRPr="004978F9">
              <w:rPr>
                <w:rFonts w:ascii="Times New Roman" w:eastAsia="Calibri" w:hAnsi="Times New Roman" w:cs="Times New Roman"/>
                <w:noProof/>
                <w:color w:val="000000"/>
                <w:sz w:val="28"/>
                <w:szCs w:val="28"/>
              </w:rPr>
              <w:t>Percentage to show working type of participants.</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36</w:t>
            </w:r>
          </w:p>
        </w:tc>
      </w:tr>
      <w:tr w:rsidR="004978F9" w:rsidRPr="004978F9" w:rsidTr="004978F9">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4.5.</w:t>
            </w:r>
          </w:p>
        </w:tc>
        <w:tc>
          <w:tcPr>
            <w:tcW w:w="6210" w:type="dxa"/>
          </w:tcPr>
          <w:p w:rsidR="004978F9" w:rsidRPr="004978F9" w:rsidRDefault="004978F9" w:rsidP="004978F9">
            <w:pPr>
              <w:rPr>
                <w:rFonts w:ascii="Times New Roman" w:eastAsia="Calibri" w:hAnsi="Times New Roman" w:cs="Times New Roman"/>
                <w:sz w:val="28"/>
                <w:szCs w:val="28"/>
                <w:lang w:bidi="ar-IQ"/>
              </w:rPr>
            </w:pPr>
            <w:r w:rsidRPr="004978F9">
              <w:rPr>
                <w:rFonts w:ascii="Times New Roman" w:eastAsia="Calibri" w:hAnsi="Times New Roman" w:cs="Times New Roman"/>
                <w:sz w:val="28"/>
                <w:szCs w:val="28"/>
                <w:lang w:bidi="ar-IQ"/>
              </w:rPr>
              <w:t>Percentage to show grades of Osteoarthritis.</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37</w:t>
            </w:r>
          </w:p>
        </w:tc>
      </w:tr>
      <w:tr w:rsidR="004978F9" w:rsidRPr="004978F9" w:rsidTr="004978F9">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4.6.</w:t>
            </w:r>
          </w:p>
        </w:tc>
        <w:tc>
          <w:tcPr>
            <w:tcW w:w="6210" w:type="dxa"/>
          </w:tcPr>
          <w:p w:rsidR="004978F9" w:rsidRPr="004978F9" w:rsidRDefault="004978F9" w:rsidP="004978F9">
            <w:pPr>
              <w:spacing w:after="200"/>
              <w:rPr>
                <w:rFonts w:ascii="Times New Roman" w:eastAsia="Calibri" w:hAnsi="Times New Roman" w:cs="Times New Roman"/>
                <w:noProof/>
                <w:color w:val="000000"/>
                <w:sz w:val="28"/>
                <w:szCs w:val="28"/>
              </w:rPr>
            </w:pPr>
            <w:r w:rsidRPr="004978F9">
              <w:rPr>
                <w:rFonts w:ascii="Times New Roman" w:eastAsia="Calibri" w:hAnsi="Times New Roman" w:cs="Times New Roman"/>
                <w:noProof/>
                <w:color w:val="000000"/>
                <w:sz w:val="28"/>
                <w:szCs w:val="28"/>
              </w:rPr>
              <w:t>Percentage to show type of malalignment.</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37</w:t>
            </w:r>
          </w:p>
        </w:tc>
      </w:tr>
      <w:tr w:rsidR="004978F9" w:rsidRPr="004978F9" w:rsidTr="004978F9">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4.7.</w:t>
            </w:r>
          </w:p>
        </w:tc>
        <w:tc>
          <w:tcPr>
            <w:tcW w:w="6210" w:type="dxa"/>
          </w:tcPr>
          <w:p w:rsidR="004978F9" w:rsidRPr="004978F9" w:rsidRDefault="004978F9" w:rsidP="004978F9">
            <w:pPr>
              <w:autoSpaceDE w:val="0"/>
              <w:autoSpaceDN w:val="0"/>
              <w:adjustRightInd w:val="0"/>
              <w:spacing w:line="360" w:lineRule="auto"/>
              <w:rPr>
                <w:rFonts w:ascii="Times New Roman" w:eastAsia="Calibri" w:hAnsi="Times New Roman" w:cs="Times New Roman"/>
                <w:color w:val="000000"/>
                <w:sz w:val="28"/>
                <w:szCs w:val="28"/>
                <w:lang w:bidi="ar-IQ"/>
              </w:rPr>
            </w:pPr>
            <w:r w:rsidRPr="004978F9">
              <w:rPr>
                <w:rFonts w:ascii="Times New Roman" w:eastAsia="Calibri" w:hAnsi="Times New Roman" w:cs="Times New Roman"/>
                <w:color w:val="000000"/>
                <w:sz w:val="28"/>
                <w:szCs w:val="28"/>
                <w:lang w:bidi="ar-IQ"/>
              </w:rPr>
              <w:t>Percentage for pre-treatment pain score using Bar Chart.</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40</w:t>
            </w:r>
          </w:p>
        </w:tc>
      </w:tr>
      <w:tr w:rsidR="004978F9" w:rsidRPr="004978F9" w:rsidTr="004978F9">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4.8.</w:t>
            </w:r>
          </w:p>
        </w:tc>
        <w:tc>
          <w:tcPr>
            <w:tcW w:w="6210" w:type="dxa"/>
          </w:tcPr>
          <w:p w:rsidR="004978F9" w:rsidRPr="004978F9" w:rsidRDefault="004978F9" w:rsidP="004978F9">
            <w:pPr>
              <w:jc w:val="both"/>
              <w:rPr>
                <w:rFonts w:ascii="Times New Roman" w:eastAsia="Calibri" w:hAnsi="Times New Roman" w:cs="Times New Roman"/>
                <w:noProof/>
                <w:color w:val="000000"/>
                <w:sz w:val="28"/>
                <w:szCs w:val="28"/>
              </w:rPr>
            </w:pPr>
            <w:r w:rsidRPr="004978F9">
              <w:rPr>
                <w:rFonts w:ascii="Times New Roman" w:eastAsia="Calibri" w:hAnsi="Times New Roman" w:cs="Times New Roman"/>
                <w:sz w:val="28"/>
                <w:szCs w:val="28"/>
                <w:lang w:bidi="ar-IQ"/>
              </w:rPr>
              <w:t>Percentage for post treatment pain score using Bar Chart</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41</w:t>
            </w:r>
          </w:p>
        </w:tc>
      </w:tr>
      <w:tr w:rsidR="004978F9" w:rsidRPr="004978F9" w:rsidTr="004978F9">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4.9.</w:t>
            </w:r>
          </w:p>
        </w:tc>
        <w:tc>
          <w:tcPr>
            <w:tcW w:w="6210" w:type="dxa"/>
          </w:tcPr>
          <w:p w:rsidR="004978F9" w:rsidRPr="004978F9" w:rsidRDefault="004978F9" w:rsidP="004978F9">
            <w:pPr>
              <w:autoSpaceDE w:val="0"/>
              <w:autoSpaceDN w:val="0"/>
              <w:adjustRightInd w:val="0"/>
              <w:spacing w:line="360" w:lineRule="auto"/>
              <w:rPr>
                <w:rFonts w:ascii="Times New Roman" w:eastAsia="Calibri" w:hAnsi="Times New Roman" w:cs="Times New Roman"/>
                <w:color w:val="000000"/>
                <w:sz w:val="28"/>
                <w:szCs w:val="28"/>
                <w:lang w:bidi="ar-IQ"/>
              </w:rPr>
            </w:pPr>
            <w:r w:rsidRPr="004978F9">
              <w:rPr>
                <w:rFonts w:ascii="Times New Roman" w:eastAsia="Calibri" w:hAnsi="Times New Roman" w:cs="Times New Roman"/>
                <w:color w:val="000000"/>
                <w:sz w:val="28"/>
                <w:szCs w:val="28"/>
                <w:lang w:bidi="ar-IQ"/>
              </w:rPr>
              <w:t xml:space="preserve">Association between two groups and both </w:t>
            </w:r>
          </w:p>
          <w:p w:rsidR="004978F9" w:rsidRPr="004978F9" w:rsidRDefault="004978F9" w:rsidP="004978F9">
            <w:pPr>
              <w:autoSpaceDE w:val="0"/>
              <w:autoSpaceDN w:val="0"/>
              <w:adjustRightInd w:val="0"/>
              <w:spacing w:line="360" w:lineRule="auto"/>
              <w:rPr>
                <w:rFonts w:ascii="Times New Roman" w:eastAsia="Calibri" w:hAnsi="Times New Roman" w:cs="Times New Roman"/>
                <w:sz w:val="28"/>
                <w:szCs w:val="28"/>
                <w:lang w:bidi="ar-IQ"/>
              </w:rPr>
            </w:pPr>
            <w:r w:rsidRPr="004978F9">
              <w:rPr>
                <w:rFonts w:ascii="Times New Roman" w:eastAsia="Calibri" w:hAnsi="Times New Roman" w:cs="Times New Roman"/>
                <w:color w:val="000000"/>
                <w:sz w:val="28"/>
                <w:szCs w:val="28"/>
                <w:lang w:bidi="ar-IQ"/>
              </w:rPr>
              <w:t>pre and post treatment pain scores using Bar Chart.</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42</w:t>
            </w:r>
          </w:p>
        </w:tc>
      </w:tr>
      <w:tr w:rsidR="004978F9" w:rsidRPr="004978F9" w:rsidTr="004978F9">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4.10.</w:t>
            </w:r>
          </w:p>
        </w:tc>
        <w:tc>
          <w:tcPr>
            <w:tcW w:w="6210" w:type="dxa"/>
          </w:tcPr>
          <w:p w:rsidR="004978F9" w:rsidRPr="004978F9" w:rsidRDefault="004978F9" w:rsidP="004978F9">
            <w:pPr>
              <w:autoSpaceDE w:val="0"/>
              <w:autoSpaceDN w:val="0"/>
              <w:adjustRightInd w:val="0"/>
              <w:spacing w:line="360" w:lineRule="auto"/>
              <w:rPr>
                <w:rFonts w:ascii="Times New Roman" w:eastAsia="Calibri" w:hAnsi="Times New Roman" w:cs="Times New Roman"/>
                <w:color w:val="000000"/>
                <w:sz w:val="28"/>
                <w:szCs w:val="28"/>
                <w:lang w:bidi="ar-IQ"/>
              </w:rPr>
            </w:pPr>
            <w:r w:rsidRPr="004978F9">
              <w:rPr>
                <w:rFonts w:ascii="Times New Roman" w:eastAsia="Calibri" w:hAnsi="Times New Roman" w:cs="Times New Roman"/>
                <w:color w:val="000000"/>
                <w:sz w:val="28"/>
                <w:szCs w:val="28"/>
              </w:rPr>
              <w:t>Mean difference between pre and post treatment pain score with each of the sixteen physical activates from study group</w:t>
            </w:r>
            <w:r w:rsidRPr="004978F9">
              <w:rPr>
                <w:rFonts w:ascii="Times New Roman" w:eastAsia="Calibri" w:hAnsi="Times New Roman" w:cs="Times New Roman"/>
                <w:color w:val="000000"/>
                <w:sz w:val="28"/>
                <w:szCs w:val="28"/>
                <w:lang w:bidi="ar-IQ"/>
              </w:rPr>
              <w:t xml:space="preserve"> using Bar Chart.</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47</w:t>
            </w:r>
          </w:p>
        </w:tc>
      </w:tr>
      <w:tr w:rsidR="004978F9" w:rsidRPr="004978F9" w:rsidTr="004978F9">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4.11.</w:t>
            </w:r>
          </w:p>
        </w:tc>
        <w:tc>
          <w:tcPr>
            <w:tcW w:w="6210" w:type="dxa"/>
          </w:tcPr>
          <w:p w:rsidR="004978F9" w:rsidRPr="004978F9" w:rsidRDefault="004978F9" w:rsidP="004978F9">
            <w:pPr>
              <w:autoSpaceDE w:val="0"/>
              <w:autoSpaceDN w:val="0"/>
              <w:adjustRightInd w:val="0"/>
              <w:spacing w:line="360" w:lineRule="auto"/>
              <w:rPr>
                <w:rFonts w:ascii="Times New Roman" w:eastAsia="Calibri" w:hAnsi="Times New Roman" w:cs="Times New Roman"/>
                <w:color w:val="000000"/>
                <w:sz w:val="28"/>
                <w:szCs w:val="28"/>
              </w:rPr>
            </w:pPr>
            <w:r w:rsidRPr="004978F9">
              <w:rPr>
                <w:rFonts w:ascii="Times New Roman" w:eastAsia="Calibri" w:hAnsi="Times New Roman" w:cs="Times New Roman"/>
                <w:color w:val="000000"/>
                <w:sz w:val="28"/>
                <w:szCs w:val="28"/>
              </w:rPr>
              <w:t>Mean difference between pre and post treatment pain score with each of the sixteen physical activates from control group</w:t>
            </w:r>
            <w:r w:rsidRPr="004978F9">
              <w:rPr>
                <w:rFonts w:ascii="Times New Roman" w:eastAsia="Calibri" w:hAnsi="Times New Roman" w:cs="Times New Roman"/>
                <w:color w:val="000000"/>
                <w:sz w:val="28"/>
                <w:szCs w:val="28"/>
                <w:lang w:bidi="ar-IQ"/>
              </w:rPr>
              <w:t xml:space="preserve"> using Bar Chart.</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49</w:t>
            </w:r>
          </w:p>
        </w:tc>
      </w:tr>
      <w:tr w:rsidR="004978F9" w:rsidRPr="004978F9" w:rsidTr="004978F9">
        <w:tc>
          <w:tcPr>
            <w:tcW w:w="967"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4.1.1</w:t>
            </w:r>
          </w:p>
        </w:tc>
        <w:tc>
          <w:tcPr>
            <w:tcW w:w="6210" w:type="dxa"/>
          </w:tcPr>
          <w:p w:rsidR="004978F9" w:rsidRPr="004978F9" w:rsidRDefault="004978F9" w:rsidP="004978F9">
            <w:pPr>
              <w:autoSpaceDE w:val="0"/>
              <w:autoSpaceDN w:val="0"/>
              <w:adjustRightInd w:val="0"/>
              <w:spacing w:line="360" w:lineRule="auto"/>
              <w:rPr>
                <w:rFonts w:ascii="Times New Roman" w:eastAsia="Calibri" w:hAnsi="Times New Roman" w:cs="Times New Roman"/>
                <w:color w:val="000000"/>
                <w:sz w:val="28"/>
                <w:szCs w:val="28"/>
              </w:rPr>
            </w:pPr>
            <w:r w:rsidRPr="004978F9">
              <w:rPr>
                <w:rFonts w:ascii="Times New Roman" w:eastAsia="Calibri" w:hAnsi="Times New Roman" w:cs="Times New Roman"/>
                <w:color w:val="000000"/>
                <w:sz w:val="28"/>
                <w:szCs w:val="28"/>
              </w:rPr>
              <w:t>X-ray of before and after using lateral wedge.</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56</w:t>
            </w:r>
          </w:p>
        </w:tc>
      </w:tr>
    </w:tbl>
    <w:p w:rsidR="004978F9" w:rsidRPr="004978F9" w:rsidRDefault="004978F9" w:rsidP="004978F9">
      <w:pPr>
        <w:rPr>
          <w:rFonts w:ascii="Times New Roman" w:eastAsia="Calibri" w:hAnsi="Times New Roman" w:cs="Times New Roman"/>
          <w:sz w:val="28"/>
          <w:szCs w:val="28"/>
        </w:rPr>
      </w:pPr>
    </w:p>
    <w:p w:rsidR="004978F9" w:rsidRPr="004978F9" w:rsidRDefault="004978F9" w:rsidP="004978F9">
      <w:pPr>
        <w:rPr>
          <w:rFonts w:ascii="Times New Roman" w:eastAsia="Calibri" w:hAnsi="Times New Roman" w:cs="Times New Roman"/>
          <w:b/>
          <w:bCs/>
          <w:sz w:val="28"/>
          <w:szCs w:val="28"/>
        </w:rPr>
      </w:pPr>
    </w:p>
    <w:p w:rsidR="004978F9" w:rsidRPr="004978F9" w:rsidRDefault="004978F9" w:rsidP="004978F9">
      <w:pPr>
        <w:jc w:val="cente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lastRenderedPageBreak/>
        <w:t>List of Tables</w:t>
      </w:r>
    </w:p>
    <w:tbl>
      <w:tblPr>
        <w:tblStyle w:val="TableGrid"/>
        <w:tblW w:w="0" w:type="auto"/>
        <w:tblInd w:w="48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181"/>
        <w:gridCol w:w="6095"/>
        <w:gridCol w:w="870"/>
      </w:tblGrid>
      <w:tr w:rsidR="004978F9" w:rsidRPr="004978F9" w:rsidTr="004978F9">
        <w:tc>
          <w:tcPr>
            <w:tcW w:w="1181" w:type="dxa"/>
            <w:shd w:val="clear" w:color="auto" w:fill="D9D9D9"/>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Tables </w:t>
            </w:r>
          </w:p>
        </w:tc>
        <w:tc>
          <w:tcPr>
            <w:tcW w:w="6095" w:type="dxa"/>
            <w:shd w:val="clear" w:color="auto" w:fill="D9D9D9"/>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Titles</w:t>
            </w:r>
          </w:p>
        </w:tc>
        <w:tc>
          <w:tcPr>
            <w:tcW w:w="870" w:type="dxa"/>
            <w:shd w:val="clear" w:color="auto" w:fill="D9D9D9"/>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Pages </w:t>
            </w:r>
          </w:p>
        </w:tc>
      </w:tr>
      <w:tr w:rsidR="004978F9" w:rsidRPr="004978F9" w:rsidTr="004978F9">
        <w:trPr>
          <w:trHeight w:val="807"/>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4.1.</w:t>
            </w:r>
          </w:p>
        </w:tc>
        <w:tc>
          <w:tcPr>
            <w:tcW w:w="6095"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lang w:bidi="ar-IQ"/>
              </w:rPr>
              <w:t>Descriptive Statistics for Socio Demographic Questions from Patients</w:t>
            </w:r>
            <w:r w:rsidRPr="004978F9">
              <w:rPr>
                <w:rFonts w:ascii="Times New Roman" w:eastAsia="Calibri" w:hAnsi="Times New Roman" w:cs="Times New Roman" w:hint="cs"/>
                <w:sz w:val="28"/>
                <w:szCs w:val="28"/>
                <w:rtl/>
                <w:lang w:bidi="ar-SY"/>
              </w:rPr>
              <w:t xml:space="preserve"> </w:t>
            </w:r>
            <w:r w:rsidRPr="004978F9">
              <w:rPr>
                <w:rFonts w:ascii="Times New Roman" w:eastAsia="Calibri" w:hAnsi="Times New Roman" w:cs="Times New Roman"/>
                <w:sz w:val="28"/>
                <w:szCs w:val="28"/>
                <w:lang w:bidi="ar-SY"/>
              </w:rPr>
              <w:t xml:space="preserve">with </w:t>
            </w:r>
            <w:r w:rsidRPr="004978F9">
              <w:rPr>
                <w:rFonts w:ascii="Times New Roman" w:eastAsia="Calibri" w:hAnsi="Times New Roman" w:cs="Times New Roman"/>
                <w:sz w:val="28"/>
                <w:szCs w:val="28"/>
                <w:lang w:bidi="ar-IQ"/>
              </w:rPr>
              <w:t>Knee OA.</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34</w:t>
            </w:r>
          </w:p>
        </w:tc>
      </w:tr>
      <w:tr w:rsidR="004978F9" w:rsidRPr="004978F9" w:rsidTr="004978F9">
        <w:trPr>
          <w:trHeight w:val="521"/>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4.2.</w:t>
            </w:r>
          </w:p>
        </w:tc>
        <w:tc>
          <w:tcPr>
            <w:tcW w:w="6095"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Reliability of measurements for all variables.</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39</w:t>
            </w:r>
          </w:p>
        </w:tc>
      </w:tr>
      <w:tr w:rsidR="004978F9" w:rsidRPr="004978F9" w:rsidTr="004978F9">
        <w:trPr>
          <w:trHeight w:val="531"/>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4.3.</w:t>
            </w:r>
          </w:p>
        </w:tc>
        <w:tc>
          <w:tcPr>
            <w:tcW w:w="6095"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lang w:bidi="ar-IQ"/>
              </w:rPr>
              <w:t>Descriptive Statistics for pre-treatment pain score.</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39</w:t>
            </w:r>
          </w:p>
        </w:tc>
      </w:tr>
      <w:tr w:rsidR="004978F9" w:rsidRPr="004978F9" w:rsidTr="004978F9">
        <w:trPr>
          <w:trHeight w:val="511"/>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4.4.</w:t>
            </w:r>
          </w:p>
        </w:tc>
        <w:tc>
          <w:tcPr>
            <w:tcW w:w="6095"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Descriptive Statistics for post treatment pain score.</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40</w:t>
            </w:r>
          </w:p>
        </w:tc>
      </w:tr>
      <w:tr w:rsidR="004978F9" w:rsidRPr="004978F9" w:rsidTr="004978F9">
        <w:trPr>
          <w:trHeight w:val="808"/>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4.5.</w:t>
            </w:r>
          </w:p>
        </w:tc>
        <w:tc>
          <w:tcPr>
            <w:tcW w:w="6095" w:type="dxa"/>
          </w:tcPr>
          <w:p w:rsidR="004978F9" w:rsidRPr="004978F9" w:rsidRDefault="004978F9" w:rsidP="004978F9">
            <w:pPr>
              <w:jc w:val="both"/>
              <w:rPr>
                <w:rFonts w:ascii="Times New Roman" w:eastAsia="Calibri" w:hAnsi="Times New Roman" w:cs="Times New Roman"/>
                <w:sz w:val="28"/>
                <w:szCs w:val="28"/>
              </w:rPr>
            </w:pPr>
            <w:r w:rsidRPr="004978F9">
              <w:rPr>
                <w:rFonts w:ascii="Times New Roman" w:eastAsia="Calibri" w:hAnsi="Times New Roman" w:cs="Times New Roman"/>
                <w:sz w:val="28"/>
                <w:szCs w:val="28"/>
                <w:lang w:bidi="ar-IQ"/>
              </w:rPr>
              <w:t>Descriptive Statistics between two groups and both pre and post treatment pain scores.</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42</w:t>
            </w:r>
          </w:p>
        </w:tc>
      </w:tr>
      <w:tr w:rsidR="004978F9" w:rsidRPr="004978F9" w:rsidTr="004978F9">
        <w:trPr>
          <w:trHeight w:val="1521"/>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4.6.</w:t>
            </w:r>
          </w:p>
        </w:tc>
        <w:tc>
          <w:tcPr>
            <w:tcW w:w="6095" w:type="dxa"/>
          </w:tcPr>
          <w:p w:rsidR="004978F9" w:rsidRPr="004978F9" w:rsidRDefault="004978F9" w:rsidP="004978F9">
            <w:pPr>
              <w:jc w:val="both"/>
              <w:rPr>
                <w:rFonts w:ascii="Times New Roman" w:eastAsia="Calibri" w:hAnsi="Times New Roman" w:cs="Times New Roman"/>
                <w:sz w:val="28"/>
                <w:szCs w:val="28"/>
              </w:rPr>
            </w:pPr>
            <w:r w:rsidRPr="004978F9">
              <w:rPr>
                <w:rFonts w:ascii="Times New Roman" w:eastAsia="Calibri" w:hAnsi="Times New Roman" w:cs="Times New Roman"/>
                <w:sz w:val="28"/>
                <w:szCs w:val="28"/>
              </w:rPr>
              <w:t>Paired Sample T Test between the mean of pre and post treatment pain score with each of the (Walking, Stair Climbing, Nocturnal, Rest, and Weight Bearing) from study group.</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44</w:t>
            </w:r>
          </w:p>
        </w:tc>
      </w:tr>
      <w:tr w:rsidR="004978F9" w:rsidRPr="004978F9" w:rsidTr="004978F9">
        <w:trPr>
          <w:trHeight w:val="1225"/>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4.7.</w:t>
            </w:r>
          </w:p>
        </w:tc>
        <w:tc>
          <w:tcPr>
            <w:tcW w:w="6095" w:type="dxa"/>
          </w:tcPr>
          <w:p w:rsidR="004978F9" w:rsidRPr="004978F9" w:rsidRDefault="004978F9" w:rsidP="004978F9">
            <w:pPr>
              <w:jc w:val="both"/>
              <w:rPr>
                <w:rFonts w:ascii="Times New Roman" w:eastAsia="Calibri" w:hAnsi="Times New Roman" w:cs="Times New Roman"/>
                <w:sz w:val="28"/>
                <w:szCs w:val="28"/>
              </w:rPr>
            </w:pPr>
            <w:r w:rsidRPr="004978F9">
              <w:rPr>
                <w:rFonts w:ascii="Times New Roman" w:eastAsia="Calibri" w:hAnsi="Times New Roman" w:cs="Times New Roman"/>
                <w:sz w:val="28"/>
                <w:szCs w:val="28"/>
              </w:rPr>
              <w:t>Paired Sample T Test between the mean of pre and post treatment pain score with each of the (Walking, Stair Climbing, Nocturnal, Rest, and Weight Bearing) from control group.</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45</w:t>
            </w:r>
          </w:p>
        </w:tc>
      </w:tr>
      <w:tr w:rsidR="004978F9" w:rsidRPr="004978F9" w:rsidTr="004978F9">
        <w:trPr>
          <w:trHeight w:val="1519"/>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4.8.</w:t>
            </w:r>
          </w:p>
        </w:tc>
        <w:tc>
          <w:tcPr>
            <w:tcW w:w="6095" w:type="dxa"/>
          </w:tcPr>
          <w:p w:rsidR="004978F9" w:rsidRPr="004978F9" w:rsidRDefault="004978F9" w:rsidP="004978F9">
            <w:pPr>
              <w:jc w:val="both"/>
              <w:rPr>
                <w:rFonts w:ascii="Times New Roman" w:eastAsia="Calibri" w:hAnsi="Times New Roman" w:cs="Times New Roman"/>
                <w:sz w:val="28"/>
                <w:szCs w:val="28"/>
              </w:rPr>
            </w:pPr>
            <w:r w:rsidRPr="004978F9">
              <w:rPr>
                <w:rFonts w:ascii="Times New Roman" w:eastAsia="Calibri" w:hAnsi="Times New Roman" w:cs="Times New Roman"/>
                <w:sz w:val="28"/>
                <w:szCs w:val="28"/>
              </w:rPr>
              <w:t>Paired Sample T Test between the mean of pre and post treatment pain score with each of the sixteen physical activates from study group.</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46</w:t>
            </w:r>
          </w:p>
        </w:tc>
      </w:tr>
      <w:tr w:rsidR="004978F9" w:rsidRPr="004978F9" w:rsidTr="004978F9">
        <w:trPr>
          <w:trHeight w:val="946"/>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4.9.</w:t>
            </w:r>
          </w:p>
        </w:tc>
        <w:tc>
          <w:tcPr>
            <w:tcW w:w="6095" w:type="dxa"/>
          </w:tcPr>
          <w:p w:rsidR="004978F9" w:rsidRPr="004978F9" w:rsidRDefault="004978F9" w:rsidP="004978F9">
            <w:pPr>
              <w:jc w:val="both"/>
              <w:rPr>
                <w:rFonts w:ascii="Times New Roman" w:eastAsia="Calibri" w:hAnsi="Times New Roman" w:cs="Times New Roman"/>
                <w:sz w:val="28"/>
                <w:szCs w:val="28"/>
              </w:rPr>
            </w:pPr>
            <w:r w:rsidRPr="004978F9">
              <w:rPr>
                <w:rFonts w:ascii="Times New Roman" w:eastAsia="Calibri" w:hAnsi="Times New Roman" w:cs="Times New Roman"/>
                <w:sz w:val="28"/>
                <w:szCs w:val="28"/>
              </w:rPr>
              <w:t>Paired Sample T Test between the mean of pre and post treatment pain score with each of the sixteen physical activates from control group.</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48</w:t>
            </w:r>
          </w:p>
        </w:tc>
      </w:tr>
      <w:tr w:rsidR="004978F9" w:rsidRPr="004978F9" w:rsidTr="004978F9">
        <w:trPr>
          <w:trHeight w:val="1514"/>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4.10.</w:t>
            </w:r>
          </w:p>
        </w:tc>
        <w:tc>
          <w:tcPr>
            <w:tcW w:w="6095" w:type="dxa"/>
          </w:tcPr>
          <w:p w:rsidR="004978F9" w:rsidRPr="004978F9" w:rsidRDefault="004978F9" w:rsidP="004978F9">
            <w:pPr>
              <w:ind w:right="-243"/>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Paired Sample T Test between the mean of pre and </w:t>
            </w:r>
          </w:p>
          <w:p w:rsidR="004978F9" w:rsidRPr="004978F9" w:rsidRDefault="004978F9" w:rsidP="004978F9">
            <w:pPr>
              <w:ind w:right="-243"/>
              <w:rPr>
                <w:rFonts w:ascii="Times New Roman" w:eastAsia="Calibri" w:hAnsi="Times New Roman" w:cs="Times New Roman"/>
                <w:sz w:val="28"/>
                <w:szCs w:val="28"/>
              </w:rPr>
            </w:pPr>
            <w:r w:rsidRPr="004978F9">
              <w:rPr>
                <w:rFonts w:ascii="Times New Roman" w:eastAsia="Calibri" w:hAnsi="Times New Roman" w:cs="Times New Roman"/>
                <w:sz w:val="28"/>
                <w:szCs w:val="28"/>
              </w:rPr>
              <w:t>post treatment pain score with overall pain score   from study group.</w:t>
            </w:r>
          </w:p>
          <w:p w:rsidR="004978F9" w:rsidRPr="004978F9" w:rsidRDefault="004978F9" w:rsidP="004978F9">
            <w:pPr>
              <w:bidi/>
              <w:ind w:right="-243"/>
              <w:jc w:val="right"/>
              <w:rPr>
                <w:rFonts w:ascii="Times New Roman" w:eastAsia="Calibri" w:hAnsi="Times New Roman" w:cs="Times New Roman"/>
                <w:sz w:val="28"/>
                <w:szCs w:val="28"/>
              </w:rPr>
            </w:pPr>
          </w:p>
        </w:tc>
        <w:tc>
          <w:tcPr>
            <w:tcW w:w="870"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   49</w:t>
            </w:r>
          </w:p>
        </w:tc>
      </w:tr>
      <w:tr w:rsidR="004978F9" w:rsidRPr="004978F9" w:rsidTr="004978F9">
        <w:trPr>
          <w:trHeight w:val="942"/>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4.11.</w:t>
            </w:r>
          </w:p>
        </w:tc>
        <w:tc>
          <w:tcPr>
            <w:tcW w:w="6095" w:type="dxa"/>
          </w:tcPr>
          <w:p w:rsidR="004978F9" w:rsidRPr="004978F9" w:rsidRDefault="004978F9" w:rsidP="004978F9">
            <w:pPr>
              <w:bidi/>
              <w:ind w:right="-243"/>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 xml:space="preserve">   Paired Sample T Test between</w:t>
            </w:r>
            <w:r w:rsidRPr="004978F9">
              <w:rPr>
                <w:rFonts w:ascii="Times New Roman" w:eastAsia="Calibri" w:hAnsi="Times New Roman" w:cs="Times New Roman"/>
                <w:sz w:val="28"/>
                <w:szCs w:val="28"/>
                <w:lang w:bidi="ar-IQ"/>
              </w:rPr>
              <w:t xml:space="preserve"> the mean pre and post treatment pain scores with overall pain score from control group.</w:t>
            </w:r>
          </w:p>
          <w:p w:rsidR="004978F9" w:rsidRPr="004978F9" w:rsidRDefault="004978F9" w:rsidP="004978F9">
            <w:pPr>
              <w:jc w:val="both"/>
              <w:rPr>
                <w:rFonts w:ascii="Times New Roman" w:eastAsia="Calibri" w:hAnsi="Times New Roman" w:cs="Times New Roman"/>
                <w:sz w:val="28"/>
                <w:szCs w:val="28"/>
              </w:rPr>
            </w:pP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50</w:t>
            </w:r>
          </w:p>
        </w:tc>
      </w:tr>
      <w:tr w:rsidR="004978F9" w:rsidRPr="004978F9" w:rsidTr="004978F9">
        <w:trPr>
          <w:trHeight w:val="1225"/>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4.12.</w:t>
            </w:r>
          </w:p>
        </w:tc>
        <w:tc>
          <w:tcPr>
            <w:tcW w:w="6095" w:type="dxa"/>
          </w:tcPr>
          <w:p w:rsidR="004978F9" w:rsidRPr="004978F9" w:rsidRDefault="004978F9" w:rsidP="004978F9">
            <w:pPr>
              <w:ind w:right="-243"/>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Paired Sample T Test between the mean of pre and</w:t>
            </w:r>
          </w:p>
          <w:p w:rsidR="004978F9" w:rsidRPr="004978F9" w:rsidRDefault="004978F9" w:rsidP="004978F9">
            <w:pPr>
              <w:ind w:right="-243"/>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post Malalignment degree from study group.</w:t>
            </w:r>
          </w:p>
          <w:p w:rsidR="004978F9" w:rsidRPr="004978F9" w:rsidRDefault="004978F9" w:rsidP="004978F9">
            <w:pPr>
              <w:jc w:val="both"/>
              <w:rPr>
                <w:rFonts w:ascii="Times New Roman" w:eastAsia="Calibri" w:hAnsi="Times New Roman" w:cs="Times New Roman"/>
                <w:sz w:val="28"/>
                <w:szCs w:val="28"/>
              </w:rPr>
            </w:pP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50</w:t>
            </w:r>
          </w:p>
        </w:tc>
      </w:tr>
      <w:tr w:rsidR="004978F9" w:rsidRPr="004978F9" w:rsidTr="004978F9">
        <w:trPr>
          <w:trHeight w:val="1085"/>
        </w:trPr>
        <w:tc>
          <w:tcPr>
            <w:tcW w:w="1181"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lastRenderedPageBreak/>
              <w:t>4.13.</w:t>
            </w:r>
          </w:p>
        </w:tc>
        <w:tc>
          <w:tcPr>
            <w:tcW w:w="6095" w:type="dxa"/>
          </w:tcPr>
          <w:p w:rsidR="004978F9" w:rsidRPr="004978F9" w:rsidRDefault="004978F9" w:rsidP="004978F9">
            <w:pPr>
              <w:jc w:val="center"/>
              <w:rPr>
                <w:rFonts w:ascii="Times New Roman" w:eastAsia="Calibri" w:hAnsi="Times New Roman" w:cs="Times New Roman"/>
                <w:sz w:val="28"/>
                <w:szCs w:val="28"/>
                <w:lang w:bidi="ar-IQ"/>
              </w:rPr>
            </w:pPr>
            <w:r w:rsidRPr="004978F9">
              <w:rPr>
                <w:rFonts w:ascii="Times New Roman" w:eastAsia="Calibri" w:hAnsi="Times New Roman" w:cs="Times New Roman"/>
                <w:sz w:val="28"/>
                <w:szCs w:val="28"/>
              </w:rPr>
              <w:t>Paired Sample T Test between the mean of pre and</w:t>
            </w:r>
          </w:p>
          <w:p w:rsidR="004978F9" w:rsidRPr="004978F9" w:rsidRDefault="004978F9" w:rsidP="004978F9">
            <w:pPr>
              <w:ind w:right="-243"/>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post Malalignment degree from control group.</w:t>
            </w:r>
          </w:p>
        </w:tc>
        <w:tc>
          <w:tcPr>
            <w:tcW w:w="870" w:type="dxa"/>
          </w:tcPr>
          <w:p w:rsidR="004978F9" w:rsidRPr="004978F9" w:rsidRDefault="004978F9" w:rsidP="004978F9">
            <w:pPr>
              <w:jc w:val="center"/>
              <w:rPr>
                <w:rFonts w:ascii="Times New Roman" w:eastAsia="Calibri" w:hAnsi="Times New Roman" w:cs="Times New Roman"/>
                <w:sz w:val="28"/>
                <w:szCs w:val="28"/>
              </w:rPr>
            </w:pPr>
            <w:r w:rsidRPr="004978F9">
              <w:rPr>
                <w:rFonts w:ascii="Times New Roman" w:eastAsia="Calibri" w:hAnsi="Times New Roman" w:cs="Times New Roman"/>
                <w:sz w:val="28"/>
                <w:szCs w:val="28"/>
              </w:rPr>
              <w:t>51</w:t>
            </w:r>
          </w:p>
        </w:tc>
      </w:tr>
    </w:tbl>
    <w:p w:rsidR="004978F9" w:rsidRPr="004978F9" w:rsidRDefault="004978F9" w:rsidP="004978F9">
      <w:pPr>
        <w:rPr>
          <w:rFonts w:ascii="Times New Roman" w:eastAsia="Calibri" w:hAnsi="Times New Roman" w:cs="Times New Roman"/>
          <w:sz w:val="28"/>
          <w:szCs w:val="28"/>
        </w:rPr>
      </w:pPr>
    </w:p>
    <w:p w:rsidR="004978F9" w:rsidRPr="004978F9" w:rsidRDefault="004978F9" w:rsidP="004978F9">
      <w:pPr>
        <w:rPr>
          <w:rFonts w:ascii="Times New Roman" w:eastAsia="Calibri" w:hAnsi="Times New Roman" w:cs="Times New Roman"/>
          <w:sz w:val="28"/>
          <w:szCs w:val="28"/>
        </w:rPr>
      </w:pPr>
    </w:p>
    <w:p w:rsidR="004978F9" w:rsidRPr="004978F9" w:rsidRDefault="004978F9" w:rsidP="004978F9">
      <w:pPr>
        <w:rPr>
          <w:rFonts w:ascii="Times New Roman" w:eastAsia="Calibri" w:hAnsi="Times New Roman" w:cs="Times New Roman"/>
          <w:b/>
          <w:bCs/>
          <w:sz w:val="28"/>
          <w:szCs w:val="28"/>
        </w:rPr>
      </w:pPr>
    </w:p>
    <w:p w:rsidR="004978F9" w:rsidRPr="004978F9" w:rsidRDefault="004978F9" w:rsidP="004978F9">
      <w:pPr>
        <w:rPr>
          <w:rFonts w:ascii="Times New Roman" w:eastAsia="Calibri" w:hAnsi="Times New Roman" w:cs="Times New Roman"/>
          <w:b/>
          <w:bCs/>
          <w:sz w:val="28"/>
          <w:szCs w:val="28"/>
        </w:rPr>
      </w:pPr>
    </w:p>
    <w:p w:rsidR="004978F9" w:rsidRPr="004978F9" w:rsidRDefault="004978F9" w:rsidP="004978F9">
      <w:pPr>
        <w:jc w:val="center"/>
        <w:rPr>
          <w:rFonts w:ascii="Times New Roman" w:eastAsia="Calibri" w:hAnsi="Times New Roman" w:cs="Times New Roman"/>
          <w:b/>
          <w:bCs/>
          <w:sz w:val="28"/>
          <w:szCs w:val="28"/>
        </w:rPr>
      </w:pPr>
      <w:r w:rsidRPr="004978F9">
        <w:rPr>
          <w:rFonts w:ascii="Times New Roman" w:eastAsia="Calibri" w:hAnsi="Times New Roman" w:cs="Times New Roman"/>
          <w:b/>
          <w:bCs/>
          <w:sz w:val="28"/>
          <w:szCs w:val="28"/>
        </w:rPr>
        <w:t>List of Abbreviations</w:t>
      </w:r>
    </w:p>
    <w:tbl>
      <w:tblPr>
        <w:tblStyle w:val="TableGrid"/>
        <w:tblW w:w="0" w:type="auto"/>
        <w:tblInd w:w="493" w:type="dxa"/>
        <w:tblBorders>
          <w:top w:val="single" w:sz="18" w:space="0" w:color="0D0D0D"/>
          <w:left w:val="single" w:sz="18" w:space="0" w:color="0D0D0D"/>
          <w:bottom w:val="single" w:sz="18" w:space="0" w:color="0D0D0D"/>
          <w:right w:val="single" w:sz="18" w:space="0" w:color="0D0D0D"/>
          <w:insideH w:val="single" w:sz="18" w:space="0" w:color="0D0D0D"/>
          <w:insideV w:val="single" w:sz="18" w:space="0" w:color="0D0D0D"/>
        </w:tblBorders>
        <w:tblLook w:val="04A0" w:firstRow="1" w:lastRow="0" w:firstColumn="1" w:lastColumn="0" w:noHBand="0" w:noVBand="1"/>
      </w:tblPr>
      <w:tblGrid>
        <w:gridCol w:w="1693"/>
        <w:gridCol w:w="6413"/>
      </w:tblGrid>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ACL</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Anterior Cruciate Ligament</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ANOVA</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Analysis of Variance</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BMI</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Body mass index</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CRP</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C-reactive protein</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CT</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Computed tomography</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ESR</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Erythrocyte sedimentation rate</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F</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Frequency</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LCL</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Lateral Collateral Ligament</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MCL</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Medial Collateral Ligament</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MRI</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Magnetic resonance imaging</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N</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Number</w:t>
            </w:r>
          </w:p>
        </w:tc>
      </w:tr>
      <w:tr w:rsidR="004978F9" w:rsidRPr="004978F9" w:rsidTr="004978F9">
        <w:trPr>
          <w:trHeight w:val="391"/>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NSAIDs</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Nonsteroidal anti-inflammatory drugs</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b/>
                <w:bCs/>
                <w:sz w:val="32"/>
                <w:szCs w:val="32"/>
              </w:rPr>
            </w:pPr>
            <w:r w:rsidRPr="004978F9">
              <w:rPr>
                <w:rFonts w:ascii="Times New Roman" w:eastAsia="Calibri" w:hAnsi="Times New Roman" w:cs="Times New Roman"/>
                <w:sz w:val="28"/>
                <w:szCs w:val="28"/>
              </w:rPr>
              <w:t>OA</w:t>
            </w:r>
          </w:p>
        </w:tc>
        <w:tc>
          <w:tcPr>
            <w:tcW w:w="6413" w:type="dxa"/>
          </w:tcPr>
          <w:p w:rsidR="004978F9" w:rsidRPr="004978F9" w:rsidRDefault="004978F9" w:rsidP="004978F9">
            <w:pPr>
              <w:rPr>
                <w:rFonts w:ascii="Times New Roman" w:eastAsia="Calibri" w:hAnsi="Times New Roman" w:cs="Times New Roman"/>
                <w:sz w:val="32"/>
                <w:szCs w:val="32"/>
              </w:rPr>
            </w:pPr>
            <w:r w:rsidRPr="004978F9">
              <w:rPr>
                <w:rFonts w:ascii="Times New Roman" w:eastAsia="Calibri" w:hAnsi="Times New Roman" w:cs="Times New Roman"/>
                <w:sz w:val="32"/>
                <w:szCs w:val="32"/>
              </w:rPr>
              <w:t>Osteoarthritis</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PCL</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Posterior Cruciate Ligament</w:t>
            </w:r>
          </w:p>
        </w:tc>
      </w:tr>
      <w:tr w:rsidR="004978F9" w:rsidRPr="004978F9" w:rsidTr="004978F9">
        <w:trPr>
          <w:trHeight w:val="373"/>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VAS</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visual analog scale</w:t>
            </w:r>
          </w:p>
        </w:tc>
      </w:tr>
      <w:tr w:rsidR="004978F9" w:rsidRPr="004978F9" w:rsidTr="004978F9">
        <w:trPr>
          <w:trHeight w:val="391"/>
        </w:trPr>
        <w:tc>
          <w:tcPr>
            <w:tcW w:w="169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WOMAC</w:t>
            </w:r>
          </w:p>
        </w:tc>
        <w:tc>
          <w:tcPr>
            <w:tcW w:w="6413" w:type="dxa"/>
          </w:tcPr>
          <w:p w:rsidR="004978F9" w:rsidRPr="004978F9" w:rsidRDefault="004978F9" w:rsidP="004978F9">
            <w:pPr>
              <w:rPr>
                <w:rFonts w:ascii="Times New Roman" w:eastAsia="Calibri" w:hAnsi="Times New Roman" w:cs="Times New Roman"/>
                <w:sz w:val="28"/>
                <w:szCs w:val="28"/>
              </w:rPr>
            </w:pPr>
            <w:r w:rsidRPr="004978F9">
              <w:rPr>
                <w:rFonts w:ascii="Times New Roman" w:eastAsia="Calibri" w:hAnsi="Times New Roman" w:cs="Times New Roman"/>
                <w:sz w:val="28"/>
                <w:szCs w:val="28"/>
              </w:rPr>
              <w:t>Western Ontario and McMaster universities arthritis index</w:t>
            </w:r>
          </w:p>
        </w:tc>
      </w:tr>
    </w:tbl>
    <w:p w:rsidR="004978F9" w:rsidRPr="004978F9" w:rsidRDefault="004978F9" w:rsidP="004978F9">
      <w:pPr>
        <w:rPr>
          <w:rFonts w:ascii="Times New Roman" w:eastAsia="Calibri" w:hAnsi="Times New Roman" w:cs="Times New Roman"/>
          <w:b/>
          <w:bCs/>
          <w:sz w:val="32"/>
          <w:szCs w:val="32"/>
        </w:rPr>
      </w:pPr>
    </w:p>
    <w:p w:rsidR="009F7EE6" w:rsidRDefault="009F7EE6"/>
    <w:p w:rsidR="004978F9" w:rsidRDefault="004978F9"/>
    <w:p w:rsidR="004978F9" w:rsidRDefault="004978F9"/>
    <w:p w:rsidR="004978F9" w:rsidRDefault="004978F9"/>
    <w:p w:rsidR="004978F9" w:rsidRDefault="004978F9"/>
    <w:p w:rsidR="004978F9" w:rsidRDefault="004978F9"/>
    <w:p w:rsidR="00C85AF5" w:rsidRPr="00C85AF5" w:rsidRDefault="00C85AF5" w:rsidP="00C85AF5">
      <w:pPr>
        <w:numPr>
          <w:ilvl w:val="0"/>
          <w:numId w:val="1"/>
        </w:numPr>
        <w:spacing w:line="360" w:lineRule="auto"/>
        <w:contextualSpacing/>
        <w:jc w:val="center"/>
        <w:rPr>
          <w:rFonts w:asciiTheme="majorBidi" w:hAnsiTheme="majorBidi" w:cstheme="majorBidi"/>
          <w:b/>
          <w:bCs/>
          <w:sz w:val="28"/>
          <w:szCs w:val="28"/>
        </w:rPr>
      </w:pPr>
      <w:r w:rsidRPr="00C85AF5">
        <w:rPr>
          <w:rFonts w:asciiTheme="majorBidi" w:hAnsiTheme="majorBidi" w:cstheme="majorBidi"/>
          <w:b/>
          <w:bCs/>
          <w:sz w:val="28"/>
          <w:szCs w:val="28"/>
        </w:rPr>
        <w:lastRenderedPageBreak/>
        <w:t>Introduction</w:t>
      </w:r>
    </w:p>
    <w:p w:rsidR="00C85AF5" w:rsidRPr="00C85AF5" w:rsidRDefault="00C85AF5" w:rsidP="00C85AF5">
      <w:pPr>
        <w:spacing w:line="360" w:lineRule="auto"/>
        <w:jc w:val="center"/>
        <w:rPr>
          <w:rFonts w:asciiTheme="majorBidi" w:hAnsiTheme="majorBidi" w:cstheme="majorBidi"/>
          <w:b/>
          <w:bCs/>
          <w:sz w:val="28"/>
          <w:szCs w:val="28"/>
        </w:rPr>
      </w:pPr>
    </w:p>
    <w:p w:rsidR="00C85AF5" w:rsidRPr="00C85AF5" w:rsidRDefault="00C85AF5" w:rsidP="00C85AF5">
      <w:pPr>
        <w:spacing w:line="360" w:lineRule="auto"/>
        <w:jc w:val="both"/>
        <w:rPr>
          <w:rFonts w:ascii="Times New Roman" w:hAnsi="Times New Roman" w:cs="Times New Roman"/>
          <w:sz w:val="28"/>
          <w:szCs w:val="28"/>
        </w:rPr>
      </w:pPr>
      <w:r w:rsidRPr="00C85AF5">
        <w:rPr>
          <w:rFonts w:ascii="Times New Roman" w:hAnsi="Times New Roman" w:cs="Times New Roman"/>
          <w:sz w:val="28"/>
          <w:szCs w:val="28"/>
        </w:rPr>
        <w:t xml:space="preserve">      Osteoarthritis (OA) is a chronic degenerative joint disease and joint wear and tear, that causes significant pain and is a leading cause of disability worldwide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&lt;EndNote&gt;&lt;Cite&gt;&lt;Author&gt;Guilak&lt;/Author&gt;&lt;Year&gt;2011&lt;/Year&gt;&lt;RecNum&gt;6&lt;/RecNum&gt;&lt;DisplayText&gt;(Guilak, 2011, Egloff et al., 2012)&lt;/DisplayText&gt;&lt;record&gt;&lt;rec-number&gt;6&lt;/rec-number&gt;&lt;foreign-keys&gt;&lt;key app="EN" db-id="f0z025fvnpdwxbez0z3xp50wwazss0srp2r5" timestamp="1686580692"&gt;6&lt;/key&gt;&lt;/foreign-keys&gt;&lt;ref-type name="Journal Article"&gt;17&lt;/ref-type&gt;&lt;contributors&gt;&lt;authors&gt;&lt;author&gt;Guilak, Farshid&lt;/author&gt;&lt;/authors&gt;&lt;/contributors&gt;&lt;titles&gt;&lt;title&gt;Biomechanical factors in osteoarthritis&lt;/title&gt;&lt;secondary-title&gt;Best practice &amp;amp; research Clinical rheumatology&lt;/secondary-title&gt;&lt;/titles&gt;&lt;periodical&gt;&lt;full-title&gt;Best practice &amp;amp; research Clinical rheumatology&lt;/full-title&gt;&lt;/periodical&gt;&lt;pages&gt;815-823&lt;/pages&gt;&lt;volume&gt;25&lt;/volume&gt;&lt;number&gt;6&lt;/number&gt;&lt;dates&gt;&lt;year&gt;2011&lt;/year&gt;&lt;/dates&gt;&lt;isbn&gt;1521-6942&lt;/isbn&gt;&lt;urls&gt;&lt;/urls&gt;&lt;/record&gt;&lt;/Cite&gt;&lt;Cite&gt;&lt;Author&gt;Egloff&lt;/Author&gt;&lt;Year&gt;2012&lt;/Year&gt;&lt;RecNum&gt;99&lt;/RecNum&gt;&lt;record&gt;&lt;rec-number&gt;99&lt;/rec-number&gt;&lt;foreign-keys&gt;&lt;key app="EN" db-id="9spzx9t20pvxenev0tipzdr82dazvrfef9fe" timestamp="1702472926"&gt;99&lt;/key&gt;&lt;/foreign-keys&gt;&lt;ref-type name="Journal Article"&gt;17&lt;/ref-type&gt;&lt;contributors&gt;&lt;authors&gt;&lt;author&gt;Egloff, Christian&lt;/author&gt;&lt;author&gt;Hügle, Thomas&lt;/author&gt;&lt;author&gt;Valderrabano, Victor&lt;/author&gt;&lt;/authors&gt;&lt;/contributors&gt;&lt;titles&gt;&lt;title&gt;Biomechanics and pathomechanisms of osteoarthritis&lt;/title&gt;&lt;secondary-title&gt;Swiss medical weekly&lt;/secondary-title&gt;&lt;/titles&gt;&lt;periodical&gt;&lt;full-title&gt;Swiss medical weekly&lt;/full-title&gt;&lt;/periodical&gt;&lt;pages&gt;w13583-w13583&lt;/pages&gt;&lt;volume&gt;142&lt;/volume&gt;&lt;number&gt;2930&lt;/number&gt;&lt;dates&gt;&lt;year&gt;2012&lt;/year&gt;&lt;/dates&gt;&lt;isbn&gt;1424-3997&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noProof/>
          <w:sz w:val="28"/>
          <w:szCs w:val="28"/>
        </w:rPr>
        <w:t>(Guilak, 2011, Egloff et al., 2012)</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The knee is the largest joint that is frequently affected by osteoarthritis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&lt;EndNote&gt;&lt;Cite&gt;&lt;Author&gt;Englund&lt;/Author&gt;&lt;Year&gt;2010&lt;/Year&gt;&lt;RecNum&gt;8&lt;/RecNum&gt;&lt;DisplayText&gt;(Englund, 2010)&lt;/DisplayText&gt;&lt;record&gt;&lt;rec-number&gt;8&lt;/rec-number&gt;&lt;foreign-keys&gt;&lt;key app="EN" db-id="f0z025fvnpdwxbez0z3xp50wwazss0srp2r5" timestamp="1686582600"&gt;8&lt;/key&gt;&lt;/foreign-keys&gt;&lt;ref-type name="Journal Article"&gt;17&lt;/ref-type&gt;&lt;contributors&gt;&lt;authors&gt;&lt;author&gt;Englund, Martin&lt;/author&gt;&lt;/authors&gt;&lt;/contributors&gt;&lt;titles&gt;&lt;title&gt;The role of biomechanics in the initiation and progression of OA of the knee&lt;/title&gt;&lt;secondary-title&gt;Best practice &amp;amp; research Clinical rheumatology&lt;/secondary-title&gt;&lt;/titles&gt;&lt;periodical&gt;&lt;full-title&gt;Best practice &amp;amp; research Clinical rheumatology&lt;/full-title&gt;&lt;/periodical&gt;&lt;pages&gt;39-46&lt;/pages&gt;&lt;volume&gt;24&lt;/volume&gt;&lt;number&gt;1&lt;/number&gt;&lt;dates&gt;&lt;year&gt;2010&lt;/year&gt;&lt;/dates&gt;&lt;isbn&gt;1521-6942&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noProof/>
          <w:sz w:val="28"/>
          <w:szCs w:val="28"/>
        </w:rPr>
        <w:t>(Englund, 2010)</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Specifically, OA of the knee commonly occurs in the medial tibiofemoral compartment, where there is an increased regional load on the articular cartilage. This increased load is considered a significant contributing factor to the development and progression of the disease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&lt;EndNote&gt;&lt;Cite&gt;&lt;Author&gt;Teichtahl&lt;/Author&gt;&lt;Year&gt;2003&lt;/Year&gt;&lt;RecNum&gt;9&lt;/RecNum&gt;&lt;DisplayText&gt;(Teichtahl et al., 2003)&lt;/DisplayText&gt;&lt;record&gt;&lt;rec-number&gt;9&lt;/rec-number&gt;&lt;foreign-keys&gt;&lt;key app="EN" db-id="f0z025fvnpdwxbez0z3xp50wwazss0srp2r5" timestamp="1686582751"&gt;9&lt;/key&gt;&lt;/foreign-keys&gt;&lt;ref-type name="Journal Article"&gt;17&lt;/ref-type&gt;&lt;contributors&gt;&lt;authors&gt;&lt;author&gt;Teichtahl, Andrew&lt;/author&gt;&lt;author&gt;Wluka, Anita&lt;/author&gt;&lt;author&gt;Cicuttini, Flavia M&lt;/author&gt;&lt;/authors&gt;&lt;/contributors&gt;&lt;titles&gt;&lt;title&gt;Abnormal biomechanics: a precursor or result of knee osteoarthritis?&lt;/title&gt;&lt;secondary-title&gt;British journal of sports medicine&lt;/secondary-title&gt;&lt;/titles&gt;&lt;periodical&gt;&lt;full-title&gt;British journal of sports medicine&lt;/full-title&gt;&lt;/periodical&gt;&lt;pages&gt;289-290&lt;/pages&gt;&lt;volume&gt;37&lt;/volume&gt;&lt;number&gt;4&lt;/number&gt;&lt;dates&gt;&lt;year&gt;2003&lt;/year&gt;&lt;/dates&gt;&lt;isbn&gt;0306-3674&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noProof/>
          <w:sz w:val="28"/>
          <w:szCs w:val="28"/>
        </w:rPr>
        <w:t>(Teichtahl et al., 2003)</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w:t>
      </w:r>
    </w:p>
    <w:p w:rsidR="00C85AF5" w:rsidRPr="00C85AF5" w:rsidRDefault="00C85AF5" w:rsidP="00C85AF5">
      <w:pPr>
        <w:spacing w:line="360" w:lineRule="auto"/>
        <w:jc w:val="both"/>
        <w:rPr>
          <w:rFonts w:ascii="Times New Roman" w:hAnsi="Times New Roman" w:cs="Times New Roman"/>
          <w:sz w:val="28"/>
          <w:szCs w:val="28"/>
        </w:rPr>
      </w:pPr>
      <w:r w:rsidRPr="00C85AF5">
        <w:rPr>
          <w:rFonts w:ascii="Times New Roman" w:hAnsi="Times New Roman" w:cs="Times New Roman"/>
          <w:sz w:val="28"/>
          <w:szCs w:val="28"/>
        </w:rPr>
        <w:t xml:space="preserve">The worldwide impact of knee OA is experienced by around 265 million individuals, and its occurrence is progressively increasing due to the aging population and the growing prevalence of obesity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&lt;EndNote&gt;&lt;Cite&gt;&lt;Author&gt;Reichenbach&lt;/Author&gt;&lt;Year&gt;2020&lt;/Year&gt;&lt;RecNum&gt;10&lt;/RecNum&gt;&lt;DisplayText&gt;(Reichenbach et al., 2020)&lt;/DisplayText&gt;&lt;record&gt;&lt;rec-number&gt;10&lt;/rec-number&gt;&lt;foreign-keys&gt;&lt;key app="EN" db-id="f0z025fvnpdwxbez0z3xp50wwazss0srp2r5" timestamp="1686582943"&gt;10&lt;/key&gt;&lt;/foreign-keys&gt;&lt;ref-type name="Journal Article"&gt;17&lt;/ref-type&gt;&lt;contributors&gt;&lt;authors&gt;&lt;author&gt;Reichenbach, Stephan&lt;/author&gt;&lt;author&gt;Felson, David T&lt;/author&gt;&lt;author&gt;Hincapié, Cesar A&lt;/author&gt;&lt;author&gt;Heldner, Sarah&lt;/author&gt;&lt;author&gt;Bütikofer, Lukas&lt;/author&gt;&lt;author&gt;Lenz, Armando&lt;/author&gt;&lt;author&gt;Da Costa, Bruno R&lt;/author&gt;&lt;author&gt;Bonel, Harald M&lt;/author&gt;&lt;author&gt;Jones, Richard K&lt;/author&gt;&lt;author&gt;Hawker, Gillian A&lt;/author&gt;&lt;/authors&gt;&lt;/contributors&gt;&lt;titles&gt;&lt;title&gt;Effect of biomechanical footwear on knee pain in people with knee osteoarthritis: the BIOTOK randomized clinical trial&lt;/title&gt;&lt;secondary-title&gt;Jama&lt;/secondary-title&gt;&lt;/titles&gt;&lt;periodical&gt;&lt;full-title&gt;Jama&lt;/full-title&gt;&lt;/periodical&gt;&lt;pages&gt;1802-1812&lt;/pages&gt;&lt;volume&gt;323&lt;/volume&gt;&lt;number&gt;18&lt;/number&gt;&lt;dates&gt;&lt;year&gt;2020&lt;/year&gt;&lt;/dates&gt;&lt;isbn&gt;0098-7484&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noProof/>
          <w:sz w:val="28"/>
          <w:szCs w:val="28"/>
        </w:rPr>
        <w:t>(Reichenbach et al., 2020)</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The risk of disability associated solely with knee OA is equivalent to or even greater than the risk associated with cardiac disease and surpasses that of any other medical condition among elderly individuals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&lt;EndNote&gt;&lt;Cite&gt;&lt;Author&gt;Sharma&lt;/Author&gt;&lt;Year&gt;2001&lt;/Year&gt;&lt;RecNum&gt;11&lt;/RecNum&gt;&lt;DisplayText&gt;(Sharma et al., 2001)&lt;/DisplayText&gt;&lt;record&gt;&lt;rec-number&gt;11&lt;/rec-number&gt;&lt;foreign-keys&gt;&lt;key app="EN" db-id="f0z025fvnpdwxbez0z3xp50wwazss0srp2r5" timestamp="1686583330"&gt;11&lt;/key&gt;&lt;/foreign-keys&gt;&lt;ref-type name="Journal Article"&gt;17&lt;/ref-type&gt;&lt;contributors&gt;&lt;authors&gt;&lt;author&gt;Sharma, Leena&lt;/author&gt;&lt;author&gt;Song, Jing&lt;/author&gt;&lt;author&gt;Felson, David T&lt;/author&gt;&lt;author&gt;Cahue, September&lt;/author&gt;&lt;author&gt;Shamiyeh, Eli&lt;/author&gt;&lt;author&gt;Dunlop, Dorothy D&lt;/author&gt;&lt;/authors&gt;&lt;/contributors&gt;&lt;titles&gt;&lt;title&gt;The role of knee alignment in disease progression and functional decline in knee osteoarthritis&lt;/title&gt;&lt;secondary-title&gt;Jama&lt;/secondary-title&gt;&lt;/titles&gt;&lt;periodical&gt;&lt;full-title&gt;Jama&lt;/full-title&gt;&lt;/periodical&gt;&lt;pages&gt;188-195&lt;/pages&gt;&lt;volume&gt;286&lt;/volume&gt;&lt;number&gt;2&lt;/number&gt;&lt;dates&gt;&lt;year&gt;2001&lt;/year&gt;&lt;/dates&gt;&lt;isbn&gt;0098-7484&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noProof/>
          <w:sz w:val="28"/>
          <w:szCs w:val="28"/>
        </w:rPr>
        <w:t>(Sharma et al., 2001)</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The knee joint experiences significant weight-bearing during daily activities. Improper biomechanics of the joint are a primary risk factor for the development of knee OA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&lt;EndNote&gt;&lt;Cite&gt;&lt;Author&gt;Xie&lt;/Author&gt;&lt;Year&gt;2019&lt;/Year&gt;&lt;RecNum&gt;12&lt;/RecNum&gt;&lt;DisplayText&gt;(Xie et al., 2019)&lt;/DisplayText&gt;&lt;record&gt;&lt;rec-number&gt;12&lt;/rec-number&gt;&lt;foreign-keys&gt;&lt;key app="EN" db-id="f0z025fvnpdwxbez0z3xp50wwazss0srp2r5" timestamp="1686583561"&gt;12&lt;/key&gt;&lt;/foreign-keys&gt;&lt;ref-type name="Journal Article"&gt;17&lt;/ref-type&gt;&lt;contributors&gt;&lt;authors&gt;&lt;author&gt;Xie, Kai&lt;/author&gt;&lt;author&gt;Han, Xuequan&lt;/author&gt;&lt;author&gt;Jiang, Xu&lt;/author&gt;&lt;author&gt;Ai, Songtao&lt;/author&gt;&lt;author&gt;Dai, Kerong&lt;/author&gt;&lt;author&gt;Yu, Zhifeng&lt;/author&gt;&lt;author&gt;Wu, Haishan&lt;/author&gt;&lt;author&gt;Qu, Xinhua&lt;/author&gt;&lt;author&gt;Yan, Mengning&lt;/author&gt;&lt;/authors&gt;&lt;/contributors&gt;&lt;titles&gt;&lt;title&gt;The effect of varus knee deformities on the ankle alignment in patients with knee osteoarthritis&lt;/title&gt;&lt;secondary-title&gt;Journal of Orthopaedic Surgery and Research&lt;/secondary-title&gt;&lt;/titles&gt;&lt;periodical&gt;&lt;full-title&gt;Journal of Orthopaedic Surgery and Research&lt;/full-title&gt;&lt;/periodical&gt;&lt;pages&gt;1-7&lt;/pages&gt;&lt;volume&gt;14&lt;/volume&gt;&lt;number&gt;1&lt;/number&gt;&lt;dates&gt;&lt;year&gt;2019&lt;/year&gt;&lt;/dates&gt;&lt;isbn&gt;1749-799X&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noProof/>
          <w:sz w:val="28"/>
          <w:szCs w:val="28"/>
        </w:rPr>
        <w:t>(Xie et al., 2019)</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The medial compartment of the knee carries approximately 60% to 70% of the force during weight-bearing when the knee is in a neutral alignment. Due to the higher load placed on the medial compartment compared to the lateral compartment, this could contribute to the development and progression of osteoarthritis in the medial tibiofemoral compartment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&lt;EndNote&gt;&lt;Cite&gt;&lt;Author&gt;Hunter&lt;/Author&gt;&lt;Year&gt;2009&lt;/Year&gt;&lt;RecNum&gt;13&lt;/RecNum&gt;&lt;DisplayText&gt;(Hunter and Wilson, 2009)&lt;/DisplayText&gt;&lt;record&gt;&lt;rec-number&gt;13&lt;/rec-number&gt;&lt;foreign-keys&gt;&lt;key app="EN" db-id="f0z025fvnpdwxbez0z3xp50wwazss0srp2r5" timestamp="1686584043"&gt;13&lt;/key&gt;&lt;/foreign-keys&gt;&lt;ref-type name="Journal Article"&gt;17&lt;/ref-type&gt;&lt;contributors&gt;&lt;authors&gt;&lt;author&gt;Hunter, David J&lt;/author&gt;&lt;author&gt;Wilson, David R&lt;/author&gt;&lt;/authors&gt;&lt;/contributors&gt;&lt;titles&gt;&lt;title&gt;Role of alignment and biomechanics in osteoarthritis and implications for imaging&lt;/title&gt;&lt;secondary-title&gt;Radiologic Clinics&lt;/secondary-title&gt;&lt;/titles&gt;&lt;periodical&gt;&lt;full-title&gt;Radiologic Clinics&lt;/full-title&gt;&lt;/periodical&gt;&lt;pages&gt;553-566&lt;/pages&gt;&lt;volume&gt;47&lt;/volume&gt;&lt;number&gt;4&lt;/number&gt;&lt;dates&gt;&lt;year&gt;2009&lt;/year&gt;&lt;/dates&gt;&lt;isbn&gt;0033-8389&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noProof/>
          <w:sz w:val="28"/>
          <w:szCs w:val="28"/>
        </w:rPr>
        <w:t>(Hunter and Wilson, 2009)</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Studies have indicated that during walking, the ground reaction force on the proximal compartment of the knee joint is directed medially, passing through the center of the knee joint. This force generates a moment that tends to maintain the knee in an adducted position. During the stance phase of walking, there is an increased load on the </w:t>
      </w:r>
      <w:r w:rsidRPr="00C85AF5">
        <w:rPr>
          <w:rFonts w:ascii="Times New Roman" w:hAnsi="Times New Roman" w:cs="Times New Roman"/>
          <w:sz w:val="28"/>
          <w:szCs w:val="28"/>
        </w:rPr>
        <w:lastRenderedPageBreak/>
        <w:t xml:space="preserve">medial compartment of the knee joint due to the generated moment. This increased load has been linked to the degeneration of the articular cartilage in the medial compartment of the knee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&lt;EndNote&gt;&lt;Cite&gt;&lt;Author&gt;Naderi&lt;/Author&gt;&lt;Year&gt;2014&lt;/Year&gt;&lt;RecNum&gt;14&lt;/RecNum&gt;&lt;DisplayText&gt;(Naderi et al., 2014)&lt;/DisplayText&gt;&lt;record&gt;&lt;rec-number&gt;14&lt;/rec-number&gt;&lt;foreign-keys&gt;&lt;key app="EN" db-id="f0z025fvnpdwxbez0z3xp50wwazss0srp2r5" timestamp="1686584739"&gt;14&lt;/key&gt;&lt;/foreign-keys&gt;&lt;ref-type name="Journal Article"&gt;17&lt;/ref-type&gt;&lt;contributors&gt;&lt;authors&gt;&lt;author&gt;Naderi, Sasan&lt;/author&gt;&lt;author&gt;Mohammadipour, Fariborz&lt;/author&gt;&lt;author&gt;Amir Seyfaddini, MohammadReza&lt;/author&gt;&lt;/authors&gt;&lt;/contributors&gt;&lt;titles&gt;&lt;title&gt;The effects of different walking inclinations on knee angle in the frontal plane of patients with varus malalignment&lt;/title&gt;&lt;secondary-title&gt;Physical Treatments-Specific Physical Therapy Journal&lt;/secondary-title&gt;&lt;/titles&gt;&lt;periodical&gt;&lt;full-title&gt;Physical Treatments-Specific Physical Therapy Journal&lt;/full-title&gt;&lt;/periodical&gt;&lt;pages&gt;139-144&lt;/pages&gt;&lt;volume&gt;4&lt;/volume&gt;&lt;number&gt;3&lt;/number&gt;&lt;dates&gt;&lt;year&gt;2014&lt;/year&gt;&lt;/dates&gt;&lt;urls&gt;&lt;/urls&gt;&lt;/record&gt;&lt;/Cite&gt;&lt;/EndNote&gt;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noProof/>
          <w:sz w:val="28"/>
          <w:szCs w:val="28"/>
        </w:rPr>
        <w:t>(Naderi et al., 2014)</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w:t>
      </w:r>
    </w:p>
    <w:p w:rsidR="00C85AF5" w:rsidRPr="00C85AF5" w:rsidRDefault="00C85AF5" w:rsidP="00C85AF5">
      <w:pPr>
        <w:spacing w:line="360" w:lineRule="auto"/>
        <w:jc w:val="both"/>
        <w:rPr>
          <w:rFonts w:ascii="Times New Roman" w:hAnsi="Times New Roman" w:cs="Times New Roman"/>
          <w:sz w:val="28"/>
          <w:szCs w:val="28"/>
        </w:rPr>
      </w:pPr>
      <w:r w:rsidRPr="00C85AF5">
        <w:rPr>
          <w:rFonts w:ascii="Times New Roman" w:hAnsi="Times New Roman" w:cs="Times New Roman"/>
          <w:sz w:val="28"/>
          <w:szCs w:val="28"/>
        </w:rPr>
        <w:t xml:space="preserve">Malalignment of the lower leg, whether in a valgus (outward) or varus (inward) direction, has been shown to effect the load distribution on the knee joint's articular surfaces. Even slight changes in knee alignment have been demonstrated to cause abnormal distribution of forces within the joint. More specifically, studies have reported that a 4-6% increase in varus alignment can lead to a significant 20% increase in loading on the medial compartment of the knee. These elevated levels of compartment loading are believed to impose additional stress on the articular cartilage and other structures within the joint, ultimately resulting in degenerative changes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&lt;EndNote&gt;&lt;Cite&gt;&lt;Author&gt;Tanamas&lt;/Author&gt;&lt;Year&gt;2009&lt;/Year&gt;&lt;RecNum&gt;16&lt;/RecNum&gt;&lt;DisplayText&gt;(Tanamas et al., 2009)&lt;/DisplayText&gt;&lt;record&gt;&lt;rec-number&gt;16&lt;/rec-number&gt;&lt;foreign-keys&gt;&lt;key app="EN" db-id="f0z025fvnpdwxbez0z3xp50wwazss0srp2r5" timestamp="1686585037"&gt;16&lt;/key&gt;&lt;/foreign-keys&gt;&lt;ref-type name="Journal Article"&gt;17&lt;/ref-type&gt;&lt;contributors&gt;&lt;authors&gt;&lt;author&gt;Tanamas, Stephanie&lt;/author&gt;&lt;author&gt;Hanna, Fahad S&lt;/author&gt;&lt;author&gt;Cicuttini, Flavia M&lt;/author&gt;&lt;author&gt;Wluka, Anita E&lt;/author&gt;&lt;author&gt;Berry, Patricia&lt;/author&gt;&lt;author&gt;Urquhart, Donna M&lt;/author&gt;&lt;/authors&gt;&lt;/contributors&gt;&lt;titles&gt;&lt;title&gt;Does knee malalignment increase the risk of development and progression of knee osteoarthritis? A systematic review&lt;/title&gt;&lt;secondary-title&gt;Arthritis Care &amp;amp; Research: Official Journal of the American College of Rheumatology&lt;/secondary-title&gt;&lt;/titles&gt;&lt;periodical&gt;&lt;full-title&gt;Arthritis Care &amp;amp; Research: Official Journal of the American College of Rheumatology&lt;/full-title&gt;&lt;/periodical&gt;&lt;pages&gt;459-467&lt;/pages&gt;&lt;volume&gt;61&lt;/volume&gt;&lt;number&gt;4&lt;/number&gt;&lt;dates&gt;&lt;year&gt;2009&lt;/year&gt;&lt;/dates&gt;&lt;isbn&gt;0004-3591&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sz w:val="28"/>
          <w:szCs w:val="28"/>
        </w:rPr>
        <w:t>(Tanamas et al., 2009)</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w:t>
      </w:r>
    </w:p>
    <w:p w:rsidR="00C85AF5" w:rsidRPr="00C85AF5" w:rsidRDefault="00C85AF5" w:rsidP="00C85AF5">
      <w:pPr>
        <w:spacing w:line="360" w:lineRule="auto"/>
        <w:jc w:val="both"/>
        <w:rPr>
          <w:rFonts w:ascii="Times New Roman" w:hAnsi="Times New Roman" w:cs="Times New Roman"/>
          <w:sz w:val="28"/>
          <w:szCs w:val="28"/>
        </w:rPr>
      </w:pPr>
      <w:r w:rsidRPr="00C85AF5">
        <w:rPr>
          <w:rFonts w:ascii="Times New Roman" w:hAnsi="Times New Roman" w:cs="Times New Roman"/>
          <w:sz w:val="28"/>
          <w:szCs w:val="28"/>
        </w:rPr>
        <w:t xml:space="preserve">There is no definitive remedy or cure available for knee osteoarthritis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&lt;EndNote&gt;&lt;Cite&gt;&lt;Author&gt;Paterson&lt;/Author&gt;&lt;Year&gt;2021&lt;/Year&gt;&lt;RecNum&gt;17&lt;/RecNum&gt;&lt;DisplayText&gt;(Paterson et al., 2021)&lt;/DisplayText&gt;&lt;record&gt;&lt;rec-number&gt;17&lt;/rec-number&gt;&lt;foreign-keys&gt;&lt;key app="EN" db-id="f0z025fvnpdwxbez0z3xp50wwazss0srp2r5" timestamp="1686585456"&gt;17&lt;/key&gt;&lt;/foreign-keys&gt;&lt;ref-type name="Journal Article"&gt;17&lt;/ref-type&gt;&lt;contributors&gt;&lt;authors&gt;&lt;author&gt;Paterson, Kade L&lt;/author&gt;&lt;author&gt;Bennell, Kim L&lt;/author&gt;&lt;author&gt;Campbell, Penny K&lt;/author&gt;&lt;author&gt;Metcalf, Ben R&lt;/author&gt;&lt;author&gt;Wrigley, Tim V&lt;/author&gt;&lt;author&gt;Kasza, Jessica&lt;/author&gt;&lt;author&gt;Hinman, Rana S&lt;/author&gt;&lt;/authors&gt;&lt;/contributors&gt;&lt;titles&gt;&lt;title&gt;The effect of flat flexible versus stable supportive shoes on knee osteoarthritis symptoms: a randomized trial&lt;/title&gt;&lt;secondary-title&gt;Annals of Internal Medicine&lt;/secondary-title&gt;&lt;/titles&gt;&lt;periodical&gt;&lt;full-title&gt;Annals of Internal Medicine&lt;/full-title&gt;&lt;/periodical&gt;&lt;pages&gt;462-471&lt;/pages&gt;&lt;volume&gt;174&lt;/volume&gt;&lt;number&gt;4&lt;/number&gt;&lt;dates&gt;&lt;year&gt;2021&lt;/year&gt;&lt;/dates&gt;&lt;isbn&gt;0003-4819&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sz w:val="28"/>
          <w:szCs w:val="28"/>
        </w:rPr>
        <w:t>(Paterson et al., 2021)</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The pain associated with this condition is typically managed using medications such as acetaminophen, nonsteroidal anti-inflammatory drugs (NSAIDs), and opioids. However, it should be noted that these medications have limited efficacy and may be linked to undesirable side effects.</w:t>
      </w:r>
    </w:p>
    <w:p w:rsidR="00C85AF5" w:rsidRPr="00C85AF5" w:rsidRDefault="00C85AF5" w:rsidP="00C85AF5">
      <w:pPr>
        <w:spacing w:line="360" w:lineRule="auto"/>
        <w:jc w:val="both"/>
        <w:rPr>
          <w:rFonts w:ascii="Times New Roman" w:hAnsi="Times New Roman" w:cs="Times New Roman"/>
          <w:sz w:val="28"/>
          <w:szCs w:val="28"/>
        </w:rPr>
      </w:pPr>
      <w:r w:rsidRPr="00C85AF5">
        <w:rPr>
          <w:rFonts w:ascii="Times New Roman" w:hAnsi="Times New Roman" w:cs="Times New Roman"/>
          <w:sz w:val="28"/>
          <w:szCs w:val="28"/>
        </w:rPr>
        <w:t xml:space="preserve"> The prevalence of knee replacement surgery, primarily attributed to osteoarthritis cases, has been on the rise in the United States. This trend can be partly attributed to the limited effectiveness of non-surgical treatments for the condition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&lt;EndNote&gt;&lt;Cite&gt;&lt;Author&gt;Reichenbach&lt;/Author&gt;&lt;Year&gt;2020&lt;/Year&gt;&lt;RecNum&gt;18&lt;/RecNum&gt;&lt;DisplayText&gt;(Reichenbach et al., 2020)&lt;/DisplayText&gt;&lt;record&gt;&lt;rec-number&gt;18&lt;/rec-number&gt;&lt;foreign-keys&gt;&lt;key app="EN" db-id="f0z025fvnpdwxbez0z3xp50wwazss0srp2r5" timestamp="1686585685"&gt;18&lt;/key&gt;&lt;/foreign-keys&gt;&lt;ref-type name="Journal Article"&gt;17&lt;/ref-type&gt;&lt;contributors&gt;&lt;authors&gt;&lt;author&gt;Reichenbach, Stephan&lt;/author&gt;&lt;author&gt;Felson, David T&lt;/author&gt;&lt;author&gt;Hincapié, Cesar A&lt;/author&gt;&lt;author&gt;Heldner, Sarah&lt;/author&gt;&lt;author&gt;Bütikofer, Lukas&lt;/author&gt;&lt;author&gt;Lenz, Armando&lt;/author&gt;&lt;author&gt;Da Costa, Bruno R&lt;/author&gt;&lt;author&gt;Bonel, Harald M&lt;/author&gt;&lt;author&gt;Jones, Richard K&lt;/author&gt;&lt;author&gt;Hawker, Gillian A&lt;/author&gt;&lt;/authors&gt;&lt;/contributors&gt;&lt;titles&gt;&lt;title&gt;Effect of biomechanical footwear on knee pain in people with knee osteoarthritis: the BIOTOK randomized clinical trial&lt;/title&gt;&lt;secondary-title&gt;Jama&lt;/secondary-title&gt;&lt;/titles&gt;&lt;periodical&gt;&lt;full-title&gt;Jama&lt;/full-title&gt;&lt;/periodical&gt;&lt;pages&gt;1802-1812&lt;/pages&gt;&lt;volume&gt;323&lt;/volume&gt;&lt;number&gt;18&lt;/number&gt;&lt;dates&gt;&lt;year&gt;2020&lt;/year&gt;&lt;/dates&gt;&lt;isbn&gt;0098-7484&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sz w:val="28"/>
          <w:szCs w:val="28"/>
        </w:rPr>
        <w:t>(Reichenbach et al., 2020)</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While there have been advancements in biomechanical treatments for knee osteoarthritis with the objectives of reducing pain, enhancing physical function, and potentially slowing down the progression of the disease, the available evidence regarding their effectiveness remains inconclusive. Two small observational studies with prospective designs indicated that a personalized biomechanical footwear system could potentially enhance pain management and physical activities among </w:t>
      </w:r>
      <w:r w:rsidRPr="00C85AF5">
        <w:rPr>
          <w:rFonts w:ascii="Times New Roman" w:hAnsi="Times New Roman" w:cs="Times New Roman"/>
          <w:sz w:val="28"/>
          <w:szCs w:val="28"/>
        </w:rPr>
        <w:lastRenderedPageBreak/>
        <w:t xml:space="preserve">individuals experiencing symptomatic knee osteoarthritis </w:t>
      </w:r>
      <w:r w:rsidRPr="00C85AF5">
        <w:rPr>
          <w:rFonts w:ascii="Times New Roman" w:hAnsi="Times New Roman" w:cs="Times New Roman"/>
          <w:sz w:val="28"/>
          <w:szCs w:val="28"/>
        </w:rPr>
        <w:fldChar w:fldCharType="begin"/>
      </w:r>
      <w:r w:rsidRPr="00C85AF5">
        <w:rPr>
          <w:rFonts w:ascii="Times New Roman" w:hAnsi="Times New Roman" w:cs="Times New Roman"/>
          <w:sz w:val="28"/>
          <w:szCs w:val="28"/>
        </w:rPr>
        <w:instrText xml:space="preserve"> ADDIN EN.CITE &lt;EndNote&gt;&lt;Cite&gt;&lt;Author&gt;Reichenbach&lt;/Author&gt;&lt;Year&gt;2020&lt;/Year&gt;&lt;RecNum&gt;18&lt;/RecNum&gt;&lt;DisplayText&gt;(Reichenbach et al., 2020)&lt;/DisplayText&gt;&lt;record&gt;&lt;rec-number&gt;18&lt;/rec-number&gt;&lt;foreign-keys&gt;&lt;key app="EN" db-id="f0z025fvnpdwxbez0z3xp50wwazss0srp2r5" timestamp="1686585685"&gt;18&lt;/key&gt;&lt;/foreign-keys&gt;&lt;ref-type name="Journal Article"&gt;17&lt;/ref-type&gt;&lt;contributors&gt;&lt;authors&gt;&lt;author&gt;Reichenbach, Stephan&lt;/author&gt;&lt;author&gt;Felson, David T&lt;/author&gt;&lt;author&gt;Hincapié, Cesar A&lt;/author&gt;&lt;author&gt;Heldner, Sarah&lt;/author&gt;&lt;author&gt;Bütikofer, Lukas&lt;/author&gt;&lt;author&gt;Lenz, Armando&lt;/author&gt;&lt;author&gt;Da Costa, Bruno R&lt;/author&gt;&lt;author&gt;Bonel, Harald M&lt;/author&gt;&lt;author&gt;Jones, Richard K&lt;/author&gt;&lt;author&gt;Hawker, Gillian A&lt;/author&gt;&lt;/authors&gt;&lt;/contributors&gt;&lt;titles&gt;&lt;title&gt;Effect of biomechanical footwear on knee pain in people with knee osteoarthritis: the BIOTOK randomized clinical trial&lt;/title&gt;&lt;secondary-title&gt;Jama&lt;/secondary-title&gt;&lt;/titles&gt;&lt;periodical&gt;&lt;full-title&gt;Jama&lt;/full-title&gt;&lt;/periodical&gt;&lt;pages&gt;1802-1812&lt;/pages&gt;&lt;volume&gt;323&lt;/volume&gt;&lt;number&gt;18&lt;/number&gt;&lt;dates&gt;&lt;year&gt;2020&lt;/year&gt;&lt;/dates&gt;&lt;isbn&gt;0098-7484&lt;/isbn&gt;&lt;urls&gt;&lt;/urls&gt;&lt;/record&gt;&lt;/Cite&gt;&lt;/EndNote&gt;</w:instrText>
      </w:r>
      <w:r w:rsidRPr="00C85AF5">
        <w:rPr>
          <w:rFonts w:ascii="Times New Roman" w:hAnsi="Times New Roman" w:cs="Times New Roman"/>
          <w:sz w:val="28"/>
          <w:szCs w:val="28"/>
        </w:rPr>
        <w:fldChar w:fldCharType="separate"/>
      </w:r>
      <w:r w:rsidRPr="00C85AF5">
        <w:rPr>
          <w:rFonts w:ascii="Times New Roman" w:hAnsi="Times New Roman" w:cs="Times New Roman"/>
          <w:sz w:val="28"/>
          <w:szCs w:val="28"/>
        </w:rPr>
        <w:t>(Reichenbach et al., 2020)</w:t>
      </w:r>
      <w:r w:rsidRPr="00C85AF5">
        <w:rPr>
          <w:rFonts w:ascii="Times New Roman" w:hAnsi="Times New Roman" w:cs="Times New Roman"/>
          <w:sz w:val="28"/>
          <w:szCs w:val="28"/>
        </w:rPr>
        <w:fldChar w:fldCharType="end"/>
      </w:r>
      <w:r w:rsidRPr="00C85AF5">
        <w:rPr>
          <w:rFonts w:ascii="Times New Roman" w:hAnsi="Times New Roman" w:cs="Times New Roman"/>
          <w:sz w:val="28"/>
          <w:szCs w:val="28"/>
        </w:rPr>
        <w:t xml:space="preserve">. </w:t>
      </w:r>
    </w:p>
    <w:p w:rsidR="00C85AF5" w:rsidRPr="00C85AF5" w:rsidRDefault="00C85AF5" w:rsidP="00C85AF5">
      <w:pPr>
        <w:spacing w:line="360" w:lineRule="auto"/>
        <w:jc w:val="both"/>
        <w:rPr>
          <w:rFonts w:ascii="Times New Roman" w:hAnsi="Times New Roman" w:cs="Times New Roman"/>
          <w:sz w:val="28"/>
          <w:szCs w:val="28"/>
        </w:rPr>
      </w:pPr>
    </w:p>
    <w:p w:rsidR="00C85AF5" w:rsidRPr="00C85AF5" w:rsidRDefault="00C85AF5" w:rsidP="00C85AF5">
      <w:pPr>
        <w:spacing w:line="360" w:lineRule="auto"/>
        <w:jc w:val="both"/>
        <w:rPr>
          <w:rFonts w:ascii="Times New Roman" w:hAnsi="Times New Roman" w:cs="Times New Roman"/>
          <w:b/>
          <w:bCs/>
          <w:sz w:val="28"/>
          <w:szCs w:val="28"/>
        </w:rPr>
      </w:pPr>
      <w:r w:rsidRPr="00C85AF5">
        <w:rPr>
          <w:rFonts w:ascii="Times New Roman" w:hAnsi="Times New Roman" w:cs="Times New Roman"/>
          <w:b/>
          <w:bCs/>
          <w:sz w:val="28"/>
          <w:szCs w:val="28"/>
        </w:rPr>
        <w:t xml:space="preserve">Aim: </w:t>
      </w:r>
      <w:r w:rsidRPr="00C85AF5">
        <w:rPr>
          <w:rFonts w:ascii="Times New Roman" w:hAnsi="Times New Roman" w:cs="Times New Roman"/>
          <w:sz w:val="28"/>
          <w:szCs w:val="28"/>
        </w:rPr>
        <w:t xml:space="preserve">The aim of the study </w:t>
      </w:r>
      <w:r w:rsidRPr="00C85AF5">
        <w:rPr>
          <w:rFonts w:ascii="Times New Roman" w:eastAsia="Calibri" w:hAnsi="Times New Roman" w:cs="Times New Roman"/>
          <w:sz w:val="28"/>
          <w:szCs w:val="28"/>
        </w:rPr>
        <w:t>to evaluate the effect of biomechanical alignment for patients with knee joint osteoarthritis.</w:t>
      </w:r>
    </w:p>
    <w:p w:rsidR="00C85AF5" w:rsidRPr="00C85AF5" w:rsidRDefault="00C85AF5" w:rsidP="00C85AF5">
      <w:pPr>
        <w:spacing w:line="360" w:lineRule="auto"/>
        <w:jc w:val="both"/>
        <w:rPr>
          <w:rFonts w:ascii="Times New Roman" w:hAnsi="Times New Roman" w:cs="Times New Roman"/>
          <w:sz w:val="28"/>
          <w:szCs w:val="28"/>
        </w:rPr>
      </w:pPr>
    </w:p>
    <w:p w:rsidR="00C85AF5" w:rsidRPr="00C85AF5" w:rsidRDefault="00C85AF5" w:rsidP="00C85AF5">
      <w:pPr>
        <w:spacing w:line="360" w:lineRule="auto"/>
        <w:rPr>
          <w:rFonts w:ascii="Times New Roman" w:eastAsia="Calibri" w:hAnsi="Times New Roman" w:cs="Times New Roman"/>
          <w:b/>
          <w:bCs/>
          <w:sz w:val="28"/>
          <w:szCs w:val="28"/>
        </w:rPr>
      </w:pPr>
      <w:r w:rsidRPr="00C85AF5">
        <w:rPr>
          <w:rFonts w:ascii="Times New Roman" w:eastAsia="Calibri" w:hAnsi="Times New Roman" w:cs="Times New Roman"/>
          <w:b/>
          <w:bCs/>
          <w:sz w:val="28"/>
          <w:szCs w:val="28"/>
        </w:rPr>
        <w:t>Objective:</w:t>
      </w:r>
    </w:p>
    <w:p w:rsidR="00C85AF5" w:rsidRPr="00C85AF5" w:rsidRDefault="00C85AF5" w:rsidP="00C85AF5">
      <w:pPr>
        <w:numPr>
          <w:ilvl w:val="0"/>
          <w:numId w:val="2"/>
        </w:numPr>
        <w:spacing w:after="200" w:line="360" w:lineRule="auto"/>
        <w:ind w:left="360"/>
        <w:contextualSpacing/>
        <w:jc w:val="both"/>
        <w:rPr>
          <w:rFonts w:asciiTheme="majorBidi" w:eastAsia="Calibri" w:hAnsiTheme="majorBidi" w:cstheme="majorBidi"/>
          <w:sz w:val="28"/>
          <w:szCs w:val="28"/>
        </w:rPr>
      </w:pPr>
      <w:r w:rsidRPr="00C85AF5">
        <w:rPr>
          <w:rFonts w:asciiTheme="majorBidi" w:eastAsia="Calibri" w:hAnsiTheme="majorBidi" w:cstheme="majorBidi"/>
          <w:sz w:val="28"/>
          <w:szCs w:val="28"/>
        </w:rPr>
        <w:t xml:space="preserve">Identify socio-demographic characteristics of recovered OA </w:t>
      </w:r>
      <w:r w:rsidRPr="00C85AF5">
        <w:rPr>
          <w:rFonts w:asciiTheme="majorBidi" w:eastAsia="Calibri" w:hAnsiTheme="majorBidi" w:cstheme="majorBidi"/>
          <w:sz w:val="28"/>
          <w:szCs w:val="28"/>
          <w:lang w:bidi="ar-IQ"/>
        </w:rPr>
        <w:t>Knee Joint Pain</w:t>
      </w:r>
      <w:r w:rsidRPr="00C85AF5">
        <w:rPr>
          <w:rFonts w:asciiTheme="majorBidi" w:eastAsia="Calibri" w:hAnsiTheme="majorBidi" w:cstheme="majorBidi"/>
          <w:sz w:val="28"/>
          <w:szCs w:val="28"/>
        </w:rPr>
        <w:t xml:space="preserve"> of patients included in the study.</w:t>
      </w:r>
    </w:p>
    <w:p w:rsidR="00C85AF5" w:rsidRPr="00C85AF5" w:rsidRDefault="00C85AF5" w:rsidP="00C85AF5">
      <w:pPr>
        <w:numPr>
          <w:ilvl w:val="0"/>
          <w:numId w:val="2"/>
        </w:numPr>
        <w:spacing w:after="200" w:line="360" w:lineRule="auto"/>
        <w:ind w:left="360"/>
        <w:contextualSpacing/>
        <w:jc w:val="both"/>
        <w:rPr>
          <w:rFonts w:asciiTheme="majorBidi" w:eastAsia="Calibri" w:hAnsiTheme="majorBidi" w:cstheme="majorBidi"/>
          <w:sz w:val="28"/>
          <w:szCs w:val="28"/>
        </w:rPr>
      </w:pPr>
      <w:r w:rsidRPr="00C85AF5">
        <w:rPr>
          <w:rFonts w:asciiTheme="majorBidi" w:eastAsia="Calibri" w:hAnsiTheme="majorBidi" w:cstheme="majorBidi"/>
          <w:sz w:val="28"/>
          <w:szCs w:val="28"/>
        </w:rPr>
        <w:t>To investigate pain score of patients pre and post alignment alteration.</w:t>
      </w:r>
    </w:p>
    <w:p w:rsidR="00C85AF5" w:rsidRPr="00C85AF5" w:rsidRDefault="00C85AF5" w:rsidP="00C85AF5">
      <w:pPr>
        <w:numPr>
          <w:ilvl w:val="0"/>
          <w:numId w:val="2"/>
        </w:numPr>
        <w:spacing w:after="200" w:line="360" w:lineRule="auto"/>
        <w:ind w:left="360"/>
        <w:contextualSpacing/>
        <w:jc w:val="both"/>
        <w:rPr>
          <w:rFonts w:asciiTheme="majorBidi" w:eastAsia="Calibri" w:hAnsiTheme="majorBidi" w:cstheme="majorBidi"/>
          <w:sz w:val="28"/>
          <w:szCs w:val="28"/>
        </w:rPr>
      </w:pPr>
      <w:r w:rsidRPr="00C85AF5">
        <w:rPr>
          <w:rFonts w:asciiTheme="majorBidi" w:eastAsia="Calibri" w:hAnsiTheme="majorBidi" w:cstheme="majorBidi"/>
          <w:sz w:val="28"/>
          <w:szCs w:val="28"/>
        </w:rPr>
        <w:t>To find out association between mean of pre and post pain score with each of the physical activities from two groups (case and control).</w:t>
      </w:r>
    </w:p>
    <w:p w:rsidR="00C85AF5" w:rsidRPr="00C85AF5" w:rsidRDefault="00C85AF5" w:rsidP="00C85AF5">
      <w:pPr>
        <w:spacing w:line="360" w:lineRule="auto"/>
        <w:jc w:val="both"/>
        <w:rPr>
          <w:rFonts w:ascii="Times New Roman" w:hAnsi="Times New Roman" w:cs="Times New Roman"/>
          <w:sz w:val="28"/>
          <w:szCs w:val="28"/>
        </w:rPr>
      </w:pPr>
    </w:p>
    <w:p w:rsidR="00C85AF5" w:rsidRPr="00C85AF5" w:rsidRDefault="00C85AF5" w:rsidP="00C85AF5">
      <w:pPr>
        <w:spacing w:line="360" w:lineRule="auto"/>
        <w:jc w:val="both"/>
        <w:rPr>
          <w:rFonts w:asciiTheme="majorBidi" w:hAnsiTheme="majorBidi" w:cstheme="majorBidi"/>
          <w:sz w:val="28"/>
          <w:szCs w:val="28"/>
        </w:rPr>
      </w:pPr>
    </w:p>
    <w:p w:rsidR="00C85AF5" w:rsidRPr="00C85AF5" w:rsidRDefault="00C85AF5" w:rsidP="00C85AF5">
      <w:pPr>
        <w:spacing w:line="360" w:lineRule="auto"/>
        <w:rPr>
          <w:rFonts w:asciiTheme="majorBidi" w:hAnsiTheme="majorBidi" w:cstheme="majorBidi"/>
          <w:sz w:val="28"/>
          <w:szCs w:val="28"/>
        </w:rPr>
      </w:pPr>
    </w:p>
    <w:p w:rsidR="00C85AF5" w:rsidRPr="00C85AF5" w:rsidRDefault="00C85AF5" w:rsidP="00C85AF5">
      <w:pPr>
        <w:spacing w:line="360" w:lineRule="auto"/>
        <w:rPr>
          <w:rFonts w:asciiTheme="majorBidi" w:hAnsiTheme="majorBidi" w:cstheme="majorBidi"/>
          <w:sz w:val="28"/>
          <w:szCs w:val="28"/>
        </w:rPr>
      </w:pPr>
    </w:p>
    <w:p w:rsidR="00C85AF5" w:rsidRPr="00C85AF5" w:rsidRDefault="00C85AF5" w:rsidP="00C85AF5">
      <w:pPr>
        <w:spacing w:line="360" w:lineRule="auto"/>
        <w:rPr>
          <w:rFonts w:asciiTheme="majorBidi" w:hAnsiTheme="majorBidi" w:cstheme="majorBidi"/>
          <w:sz w:val="28"/>
          <w:szCs w:val="28"/>
        </w:rPr>
      </w:pPr>
    </w:p>
    <w:p w:rsidR="00C85AF5" w:rsidRPr="00C85AF5" w:rsidRDefault="00C85AF5" w:rsidP="00C85AF5">
      <w:pPr>
        <w:spacing w:line="360" w:lineRule="auto"/>
        <w:rPr>
          <w:rFonts w:asciiTheme="majorBidi" w:hAnsiTheme="majorBidi" w:cstheme="majorBidi"/>
          <w:sz w:val="28"/>
          <w:szCs w:val="28"/>
        </w:rPr>
      </w:pPr>
    </w:p>
    <w:p w:rsidR="00C85AF5" w:rsidRPr="00C85AF5" w:rsidRDefault="00C85AF5" w:rsidP="00C85AF5">
      <w:pPr>
        <w:spacing w:line="360" w:lineRule="auto"/>
        <w:rPr>
          <w:rFonts w:asciiTheme="majorBidi" w:hAnsiTheme="majorBidi" w:cstheme="majorBidi"/>
          <w:sz w:val="28"/>
          <w:szCs w:val="28"/>
        </w:rPr>
      </w:pPr>
    </w:p>
    <w:p w:rsidR="00C85AF5" w:rsidRPr="00C85AF5" w:rsidRDefault="00C85AF5" w:rsidP="00C85AF5">
      <w:pPr>
        <w:spacing w:line="360" w:lineRule="auto"/>
        <w:rPr>
          <w:rFonts w:asciiTheme="majorBidi" w:hAnsiTheme="majorBidi" w:cstheme="majorBidi"/>
          <w:sz w:val="28"/>
          <w:szCs w:val="28"/>
        </w:rPr>
      </w:pPr>
    </w:p>
    <w:p w:rsidR="00C85AF5" w:rsidRPr="00C85AF5" w:rsidRDefault="00C85AF5" w:rsidP="00C85AF5">
      <w:pPr>
        <w:spacing w:line="360" w:lineRule="auto"/>
        <w:rPr>
          <w:rFonts w:asciiTheme="majorBidi" w:hAnsiTheme="majorBidi" w:cstheme="majorBidi"/>
          <w:sz w:val="28"/>
          <w:szCs w:val="28"/>
        </w:rPr>
      </w:pPr>
    </w:p>
    <w:p w:rsidR="00C85AF5" w:rsidRPr="00C85AF5" w:rsidRDefault="00C85AF5" w:rsidP="00C85AF5">
      <w:pPr>
        <w:tabs>
          <w:tab w:val="left" w:pos="3585"/>
        </w:tabs>
        <w:spacing w:line="256" w:lineRule="auto"/>
        <w:rPr>
          <w:rFonts w:asciiTheme="majorBidi" w:hAnsiTheme="majorBidi" w:cstheme="majorBidi"/>
          <w:sz w:val="28"/>
          <w:szCs w:val="28"/>
        </w:rPr>
      </w:pPr>
    </w:p>
    <w:p w:rsidR="004978F9" w:rsidRDefault="004978F9"/>
    <w:p w:rsidR="00C85AF5" w:rsidRDefault="00C85AF5"/>
    <w:p w:rsidR="00C85AF5" w:rsidRDefault="00C85AF5" w:rsidP="00C85AF5">
      <w:pPr>
        <w:spacing w:line="360" w:lineRule="auto"/>
        <w:jc w:val="center"/>
        <w:rPr>
          <w:rFonts w:asciiTheme="majorBidi" w:hAnsiTheme="majorBidi" w:cstheme="majorBidi"/>
          <w:b/>
          <w:bCs/>
          <w:sz w:val="28"/>
          <w:szCs w:val="28"/>
        </w:rPr>
      </w:pPr>
      <w:bookmarkStart w:id="0" w:name="_Hlk153344053"/>
      <w:bookmarkEnd w:id="0"/>
      <w:r>
        <w:rPr>
          <w:rFonts w:asciiTheme="majorBidi" w:hAnsiTheme="majorBidi" w:cstheme="majorBidi"/>
          <w:b/>
          <w:bCs/>
          <w:sz w:val="28"/>
          <w:szCs w:val="28"/>
        </w:rPr>
        <w:lastRenderedPageBreak/>
        <w:t>2. Theoretical background and literature review</w:t>
      </w:r>
    </w:p>
    <w:p w:rsidR="00C85AF5" w:rsidRDefault="00C85AF5" w:rsidP="00C85AF5">
      <w:pPr>
        <w:spacing w:line="360" w:lineRule="auto"/>
        <w:rPr>
          <w:rFonts w:asciiTheme="majorBidi" w:hAnsiTheme="majorBidi" w:cstheme="majorBidi"/>
          <w:b/>
          <w:bCs/>
          <w:sz w:val="28"/>
          <w:szCs w:val="28"/>
        </w:rPr>
      </w:pPr>
    </w:p>
    <w:p w:rsidR="00C85AF5" w:rsidRPr="00751669" w:rsidRDefault="00C85AF5" w:rsidP="00C85AF5">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2.1. </w:t>
      </w:r>
      <w:r w:rsidRPr="00751669">
        <w:rPr>
          <w:rFonts w:asciiTheme="majorBidi" w:hAnsiTheme="majorBidi" w:cstheme="majorBidi"/>
          <w:b/>
          <w:bCs/>
          <w:sz w:val="28"/>
          <w:szCs w:val="28"/>
        </w:rPr>
        <w:t xml:space="preserve">History of </w:t>
      </w:r>
      <w:r>
        <w:rPr>
          <w:rFonts w:asciiTheme="majorBidi" w:hAnsiTheme="majorBidi" w:cstheme="majorBidi"/>
          <w:b/>
          <w:bCs/>
          <w:sz w:val="28"/>
          <w:szCs w:val="28"/>
        </w:rPr>
        <w:t>o</w:t>
      </w:r>
      <w:r w:rsidRPr="00751669">
        <w:rPr>
          <w:rFonts w:asciiTheme="majorBidi" w:hAnsiTheme="majorBidi" w:cstheme="majorBidi"/>
          <w:b/>
          <w:bCs/>
          <w:sz w:val="28"/>
          <w:szCs w:val="28"/>
        </w:rPr>
        <w:t>steoarthritis</w:t>
      </w:r>
    </w:p>
    <w:p w:rsidR="00C85AF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Osteoarthritis is a chronic joint disease that is caused by the degeneration of cartilage and underlying bone in the joints. It is one of the most common types of arthritis, affecting millions of people worldwid</w:t>
      </w:r>
      <w:r>
        <w:rPr>
          <w:rFonts w:asciiTheme="majorBidi" w:hAnsiTheme="majorBidi" w:cstheme="majorBidi"/>
          <w:sz w:val="28"/>
          <w:szCs w:val="28"/>
        </w:rPr>
        <w:t xml:space="preserve">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&lt;EndNote&gt;&lt;Cite&gt;&lt;Author&gt;Yu&lt;/Author&gt;&lt;Year&gt;2022&lt;/Year&gt;&lt;RecNum&gt;4&lt;/RecNum&gt;&lt;DisplayText&gt;(Yu et al., 2022)&lt;/DisplayText&gt;&lt;record&gt;&lt;rec-number&gt;4&lt;/rec-number&gt;&lt;foreign-keys&gt;&lt;key app="EN" db-id="9spzx9t20pvxenev0tipzdr82dazvrfef9fe" timestamp="1702204951"&gt;4&lt;/key&gt;&lt;/foreign-keys&gt;&lt;ref-type name="Journal Article"&gt;17&lt;/ref-type&gt;&lt;contributors&gt;&lt;authors&gt;&lt;author&gt;Yu, Huan&lt;/author&gt;&lt;author&gt;Huang, Tianwen&lt;/author&gt;&lt;author&gt;Lu, William Weijia&lt;/author&gt;&lt;author&gt;Tong, Liping&lt;/author&gt;&lt;author&gt;Chen, Di&lt;/author&gt;&lt;/authors&gt;&lt;/contributors&gt;&lt;titles&gt;&lt;title&gt;Osteoarthritis pain&lt;/title&gt;&lt;secondary-title&gt;International Journal of Molecular Sciences&lt;/secondary-title&gt;&lt;/titles&gt;&lt;periodical&gt;&lt;full-title&gt;International Journal of Molecular Sciences&lt;/full-title&gt;&lt;/periodical&gt;&lt;pages&gt;4642&lt;/pages&gt;&lt;volume&gt;23&lt;/volume&gt;&lt;number&gt;9&lt;/number&gt;&lt;dates&gt;&lt;year&gt;2022&lt;/year&gt;&lt;/dates&gt;&lt;isbn&gt;1422-0067&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(Yu et al., 2022)</w:t>
      </w:r>
      <w:r>
        <w:rPr>
          <w:rFonts w:asciiTheme="majorBidi" w:hAnsiTheme="majorBidi" w:cstheme="majorBidi"/>
          <w:sz w:val="28"/>
          <w:szCs w:val="28"/>
        </w:rPr>
        <w:fldChar w:fldCharType="end"/>
      </w:r>
      <w:r w:rsidRPr="00751669">
        <w:rPr>
          <w:rFonts w:asciiTheme="majorBidi" w:hAnsiTheme="majorBidi" w:cstheme="majorBidi"/>
          <w:sz w:val="28"/>
          <w:szCs w:val="28"/>
        </w:rPr>
        <w:t xml:space="preserve">. </w:t>
      </w:r>
    </w:p>
    <w:p w:rsidR="00C85AF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The history of osteoarthritis dates back to ancient times, and there is evidence of the disease being present in human remains from thousands of years ago. </w:t>
      </w:r>
      <w:r w:rsidRPr="003B2A9A">
        <w:rPr>
          <w:rFonts w:asciiTheme="majorBidi" w:hAnsiTheme="majorBidi" w:cstheme="majorBidi"/>
          <w:sz w:val="28"/>
          <w:szCs w:val="28"/>
        </w:rPr>
        <w:t>The earliest evidence of osteoarthritis comes from the skeletons of prehistoric humans. In 1953, a group of archaeologists discovered the remains of a Neanderthal man in a cave in Shanidar, Iraq.</w:t>
      </w:r>
      <w:r w:rsidRPr="00751669">
        <w:rPr>
          <w:rFonts w:asciiTheme="majorBidi" w:hAnsiTheme="majorBidi" w:cstheme="majorBidi"/>
          <w:sz w:val="28"/>
          <w:szCs w:val="28"/>
        </w:rPr>
        <w:t xml:space="preserve"> The man, who lived approximately 50,000 years ago, had severe osteoarthritis in his right shoulder and elbow. This suggests that even early humans were susceptible to joint degeneration. In ancient Greece, the physician Hippocrates described a condition that he called "arthron kosmos," which is believed to be osteoarthritis. Hippocrates observed that the disease was more common in older individuals and that it affected weight-bearing joints such as the knees and hips. He also noted that the disease was more common in men than in women</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&lt;EndNote&gt;&lt;Cite&gt;&lt;Author&gt;van Tubergen&lt;/Author&gt;&lt;Year&gt;2002&lt;/Year&gt;&lt;RecNum&gt;5&lt;/RecNum&gt;&lt;DisplayText&gt;(van Tubergen and van der Linden, 2002, Spikins et al., 2018)&lt;/DisplayText&gt;&lt;record&gt;&lt;rec-number&gt;5&lt;/rec-number&gt;&lt;foreign-keys&gt;&lt;key app="EN" db-id="9spzx9t20pvxenev0tipzdr82dazvrfef9fe" timestamp="1702206586"&gt;5&lt;/key&gt;&lt;/foreign-keys&gt;&lt;ref-type name="Journal Article"&gt;17&lt;/ref-type&gt;&lt;contributors&gt;&lt;authors&gt;&lt;author&gt;van Tubergen, Astrid&lt;/author&gt;&lt;author&gt;van der Linden, Sief&lt;/author&gt;&lt;/authors&gt;&lt;/contributors&gt;&lt;titles&gt;&lt;title&gt;A brief history of spa therapy&lt;/title&gt;&lt;secondary-title&gt;Annals of the rheumatic diseases&lt;/secondary-title&gt;&lt;/titles&gt;&lt;periodical&gt;&lt;full-title&gt;Annals of the rheumatic diseases&lt;/full-title&gt;&lt;/periodical&gt;&lt;pages&gt;273&lt;/pages&gt;&lt;volume&gt;61&lt;/volume&gt;&lt;number&gt;3&lt;/number&gt;&lt;dates&gt;&lt;year&gt;2002&lt;/year&gt;&lt;/dates&gt;&lt;urls&gt;&lt;/urls&gt;&lt;/record&gt;&lt;/Cite&gt;&lt;Cite&gt;&lt;Author&gt;Spikins&lt;/Author&gt;&lt;Year&gt;2018&lt;/Year&gt;&lt;RecNum&gt;2&lt;/RecNum&gt;&lt;record&gt;&lt;rec-number&gt;2&lt;/rec-number&gt;&lt;foreign-keys&gt;&lt;key app="EN" db-id="9spzx9t20pvxenev0tipzdr82dazvrfef9fe" timestamp="1702204639"&gt;2&lt;/key&gt;&lt;/foreign-keys&gt;&lt;ref-type name="Journal Article"&gt;17&lt;/ref-type&gt;&lt;contributors&gt;&lt;authors&gt;&lt;author&gt;Spikins, Penny&lt;/author&gt;&lt;author&gt;Needham, Andy&lt;/author&gt;&lt;author&gt;Tilley, Lorna&lt;/author&gt;&lt;author&gt;Hitchens, Gail&lt;/author&gt;&lt;/authors&gt;&lt;/contributors&gt;&lt;titles&gt;&lt;title&gt;Calculated or caring? Neanderthal healthcare in social context&lt;/title&gt;&lt;secondary-title&gt;World Archaeology&lt;/secondary-title&gt;&lt;/titles&gt;&lt;periodical&gt;&lt;full-title&gt;World Archaeology&lt;/full-title&gt;&lt;/periodical&gt;&lt;pages&gt;384-403&lt;/pages&gt;&lt;volume&gt;50&lt;/volume&gt;&lt;number&gt;3&lt;/number&gt;&lt;dates&gt;&lt;year&gt;2018&lt;/year&gt;&lt;/dates&gt;&lt;isbn&gt;0043-8243&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(van Tubergen and van der Linden, 2002, Spikins et al., 2018)</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 </w:t>
      </w:r>
      <w:r w:rsidRPr="00DB0A99">
        <w:rPr>
          <w:rFonts w:asciiTheme="majorBidi" w:hAnsiTheme="majorBidi" w:cstheme="majorBidi"/>
          <w:sz w:val="28"/>
          <w:szCs w:val="28"/>
        </w:rPr>
        <w:t>In the Middle Ages, osteoarthritis was often attributed to a "cold and damp"</w:t>
      </w:r>
      <w:r w:rsidRPr="00751669">
        <w:rPr>
          <w:rFonts w:asciiTheme="majorBidi" w:hAnsiTheme="majorBidi" w:cstheme="majorBidi"/>
          <w:sz w:val="28"/>
          <w:szCs w:val="28"/>
        </w:rPr>
        <w:t xml:space="preserve"> environment. Physicians believed that the disease was caused by an excess of phlegm in the joints, and treatments often involved the use of heat and dryness to remove the phlegm. However, these treatments were often ineffective and could even be harmful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&lt;EndNote&gt;&lt;Cite&gt;&lt;Author&gt;Sun&lt;/Author&gt;&lt;Year&gt;2019&lt;/Year&gt;&lt;RecNum&gt;6&lt;/RecNum&gt;&lt;DisplayText&gt;(Sun et al., 2019)&lt;/DisplayText&gt;&lt;record&gt;&lt;rec-number&gt;6&lt;/rec-number&gt;&lt;foreign-keys&gt;&lt;key app="EN" db-id="9spzx9t20pvxenev0tipzdr82dazvrfef9fe" timestamp="1702207145"&gt;6&lt;/key&gt;&lt;/foreign-keys&gt;&lt;ref-type name="Journal Article"&gt;17&lt;/ref-type&gt;&lt;contributors&gt;&lt;authors&gt;&lt;author&gt;Sun, Xueshan&lt;/author&gt;&lt;author&gt;Zhen, Xuemei&lt;/author&gt;&lt;author&gt;Hu, Xiaoqian&lt;/author&gt;&lt;author&gt;Li, Yuanyuan&lt;/author&gt;&lt;author&gt;Gu, Shuyan&lt;/author&gt;&lt;author&gt;Gu, Yuxuan&lt;/author&gt;&lt;author&gt;Dong, Hengjin&lt;/author&gt;&lt;/authors&gt;&lt;/contributors&gt;&lt;titles&gt;&lt;title&gt;Osteoarthritis in the middle-aged and elderly in China: prevalence and influencing factors&lt;/title&gt;&lt;secondary-title&gt;International Journal of Environmental Research and Public Health&lt;/secondary-title&gt;&lt;/titles&gt;&lt;periodical&gt;&lt;full-title&gt;International Journal of Environmental Research and Public Health&lt;/full-title&gt;&lt;/periodical&gt;&lt;pages&gt;4701&lt;/pages&gt;&lt;volume&gt;16&lt;/volume&gt;&lt;number&gt;23&lt;/number&gt;&lt;dates&gt;&lt;year&gt;2019&lt;/year&gt;&lt;/dates&gt;&lt;isbn&gt;1660-4601&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(Sun et al., 2019)</w:t>
      </w:r>
      <w:r>
        <w:rPr>
          <w:rFonts w:asciiTheme="majorBidi" w:hAnsiTheme="majorBidi" w:cstheme="majorBidi"/>
          <w:sz w:val="28"/>
          <w:szCs w:val="28"/>
        </w:rPr>
        <w:fldChar w:fldCharType="end"/>
      </w:r>
      <w:r w:rsidRPr="00751669">
        <w:rPr>
          <w:rFonts w:asciiTheme="majorBidi" w:hAnsiTheme="majorBidi" w:cstheme="majorBidi"/>
          <w:sz w:val="28"/>
          <w:szCs w:val="28"/>
        </w:rPr>
        <w:t xml:space="preserve">. It wasn't until the 19th century that the medical community began to understand the true nature of osteoarthritis. In 1859, the French physician Jean-Martin Charcot described the degeneration of joint cartilage in detail. Later, in the early 20th century, the American physician </w:t>
      </w:r>
      <w:r w:rsidRPr="00751669">
        <w:rPr>
          <w:rFonts w:asciiTheme="majorBidi" w:hAnsiTheme="majorBidi" w:cstheme="majorBidi"/>
          <w:sz w:val="28"/>
          <w:szCs w:val="28"/>
        </w:rPr>
        <w:lastRenderedPageBreak/>
        <w:t xml:space="preserve">Edward Cowles published a comprehensive study of osteoarthritis that included detailed descriptions of the histological changes that occur in the </w:t>
      </w:r>
      <w:r w:rsidRPr="00DB0A99">
        <w:rPr>
          <w:rFonts w:asciiTheme="majorBidi" w:hAnsiTheme="majorBidi" w:cstheme="majorBidi"/>
          <w:sz w:val="28"/>
          <w:szCs w:val="28"/>
        </w:rPr>
        <w:t>disease</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&lt;EndNote&gt;&lt;Cite&gt;&lt;Author&gt;Muthuri&lt;/Author&gt;&lt;Year&gt;2011&lt;/Year&gt;&lt;RecNum&gt;98&lt;/RecNum&gt;&lt;DisplayText&gt;(Muthuri et al., 2011)&lt;/DisplayText&gt;&lt;record&gt;&lt;rec-number&gt;98&lt;/rec-number&gt;&lt;foreign-keys&gt;&lt;key app="EN" db-id="9spzx9t20pvxenev0tipzdr82dazvrfef9fe" timestamp="1702468216"&gt;98&lt;/key&gt;&lt;/foreign-keys&gt;&lt;ref-type name="Journal Article"&gt;17&lt;/ref-type&gt;&lt;contributors&gt;&lt;authors&gt;&lt;author&gt;Muthuri, SG&lt;/author&gt;&lt;author&gt;McWilliams, DF&lt;/author&gt;&lt;author&gt;Doherty, M&lt;/author&gt;&lt;author&gt;Zhang, W&lt;/author&gt;&lt;/authors&gt;&lt;/contributors&gt;&lt;titles&gt;&lt;title&gt;History of knee injuries and knee osteoarthritis: a meta-analysis of observational studies&lt;/title&gt;&lt;secondary-title&gt;Osteoarthritis and cartilage&lt;/secondary-title&gt;&lt;/titles&gt;&lt;periodical&gt;&lt;full-title&gt;Osteoarthritis and cartilage&lt;/full-title&gt;&lt;/periodical&gt;&lt;pages&gt;1286-1293&lt;/pages&gt;&lt;volume&gt;19&lt;/volume&gt;&lt;number&gt;11&lt;/number&gt;&lt;dates&gt;&lt;year&gt;2011&lt;/year&gt;&lt;/dates&gt;&lt;isbn&gt;1063-4584&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(Muthuri et al., 2011)</w:t>
      </w:r>
      <w:r>
        <w:rPr>
          <w:rFonts w:asciiTheme="majorBidi" w:hAnsiTheme="majorBidi" w:cstheme="majorBidi"/>
          <w:sz w:val="28"/>
          <w:szCs w:val="28"/>
        </w:rPr>
        <w:fldChar w:fldCharType="end"/>
      </w:r>
      <w:r w:rsidRPr="00DB0A99">
        <w:rPr>
          <w:rFonts w:asciiTheme="majorBidi" w:hAnsiTheme="majorBidi" w:cstheme="majorBidi"/>
          <w:sz w:val="28"/>
          <w:szCs w:val="28"/>
        </w:rPr>
        <w:t>.</w:t>
      </w:r>
      <w:r w:rsidRPr="00751669">
        <w:rPr>
          <w:rFonts w:asciiTheme="majorBidi" w:hAnsiTheme="majorBidi" w:cstheme="majorBidi"/>
          <w:sz w:val="28"/>
          <w:szCs w:val="28"/>
        </w:rPr>
        <w:t xml:space="preserve"> </w:t>
      </w:r>
    </w:p>
    <w:p w:rsidR="00C85AF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Today, there is still much to be learned about osteoarthritis, including its causes, risk factors, and potential treatments. However, advances in medical imaging, genetics, and other fields have helped researchers to better understand the disease and develop new strategies for managing its symptoms</w:t>
      </w:r>
      <w:r>
        <w:rPr>
          <w:rFonts w:asciiTheme="majorBidi" w:hAnsiTheme="majorBidi" w:cstheme="majorBidi"/>
          <w:sz w:val="28"/>
          <w:szCs w:val="28"/>
        </w:rPr>
        <w:t>.</w:t>
      </w:r>
    </w:p>
    <w:p w:rsidR="00C85AF5" w:rsidRPr="004851C0"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2.2. </w:t>
      </w:r>
      <w:r w:rsidRPr="003F15A6">
        <w:rPr>
          <w:rFonts w:asciiTheme="majorBidi" w:hAnsiTheme="majorBidi" w:cstheme="majorBidi"/>
          <w:b/>
          <w:bCs/>
          <w:sz w:val="28"/>
          <w:szCs w:val="28"/>
        </w:rPr>
        <w:t xml:space="preserve">Anatomy of the </w:t>
      </w:r>
      <w:r>
        <w:rPr>
          <w:rFonts w:asciiTheme="majorBidi" w:hAnsiTheme="majorBidi" w:cstheme="majorBidi"/>
          <w:b/>
          <w:bCs/>
          <w:sz w:val="28"/>
          <w:szCs w:val="28"/>
        </w:rPr>
        <w:t>k</w:t>
      </w:r>
      <w:r w:rsidRPr="003F15A6">
        <w:rPr>
          <w:rFonts w:asciiTheme="majorBidi" w:hAnsiTheme="majorBidi" w:cstheme="majorBidi"/>
          <w:b/>
          <w:bCs/>
          <w:sz w:val="28"/>
          <w:szCs w:val="28"/>
        </w:rPr>
        <w:t>nee joint</w:t>
      </w:r>
    </w:p>
    <w:p w:rsidR="00C85AF5" w:rsidRDefault="00C85AF5" w:rsidP="00C85AF5">
      <w:pPr>
        <w:spacing w:line="360" w:lineRule="auto"/>
        <w:jc w:val="both"/>
        <w:rPr>
          <w:rFonts w:asciiTheme="majorBidi" w:hAnsiTheme="majorBidi" w:cstheme="majorBidi"/>
          <w:b/>
          <w:bCs/>
          <w:color w:val="000000" w:themeColor="text1"/>
          <w:sz w:val="28"/>
          <w:szCs w:val="28"/>
        </w:rPr>
      </w:pPr>
      <w:r w:rsidRPr="003F15A6">
        <w:rPr>
          <w:rFonts w:asciiTheme="majorBidi" w:hAnsiTheme="majorBidi" w:cstheme="majorBidi"/>
          <w:sz w:val="28"/>
          <w:szCs w:val="28"/>
        </w:rPr>
        <w:t>The knee joint is one of the most complex and important joints in the human body. It allows for a wide range of motion, including flexion (bending), extension (straightening), and a limited amount of rotation. The knee joint is formed by the articulation of three bones: the femur (thigh bone), the tibia (shin bone), and the patella (kneecap)</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&lt;EndNote&gt;&lt;Cite&gt;&lt;Author&gt;Abulhasan&lt;/Author&gt;&lt;Year&gt;2017&lt;/Year&gt;&lt;RecNum&gt;12&lt;/RecNum&gt;&lt;DisplayText&gt;(Abulhasan and Grey, 2017, Moore and Dalley, 2018)&lt;/DisplayText&gt;&lt;record&gt;&lt;rec-number&gt;12&lt;/rec-number&gt;&lt;foreign-keys&gt;&lt;key app="EN" db-id="9spzx9t20pvxenev0tipzdr82dazvrfef9fe" timestamp="1702440991"&gt;12&lt;/key&gt;&lt;/foreign-keys&gt;&lt;ref-type name="Journal Article"&gt;17&lt;/ref-type&gt;&lt;contributors&gt;&lt;authors&gt;&lt;author&gt;Abulhasan, Jawad F&lt;/author&gt;&lt;author&gt;Grey, Michael J&lt;/author&gt;&lt;/authors&gt;&lt;/contributors&gt;&lt;titles&gt;&lt;title&gt;Anatomy and physiology of knee stability&lt;/title&gt;&lt;secondary-title&gt;Journal of Functional Morphology and kinesiology&lt;/secondary-title&gt;&lt;/titles&gt;&lt;periodical&gt;&lt;full-title&gt;Journal of Functional Morphology and kinesiology&lt;/full-title&gt;&lt;/periodical&gt;&lt;pages&gt;34&lt;/pages&gt;&lt;volume&gt;2&lt;/volume&gt;&lt;number&gt;4&lt;/number&gt;&lt;dates&gt;&lt;year&gt;2017&lt;/year&gt;&lt;/dates&gt;&lt;isbn&gt;2411-5142&lt;/isbn&gt;&lt;urls&gt;&lt;/urls&gt;&lt;/record&gt;&lt;/Cite&gt;&lt;Cite&gt;&lt;Author&gt;Moore&lt;/Author&gt;&lt;Year&gt;2018&lt;/Year&gt;&lt;RecNum&gt;15&lt;/RecNum&gt;&lt;record&gt;&lt;rec-number&gt;15&lt;/rec-number&gt;&lt;foreign-keys&gt;&lt;key app="EN" db-id="9spzx9t20pvxenev0tipzdr82dazvrfef9fe" timestamp="1702441663"&gt;15&lt;/key&gt;&lt;/foreign-keys&gt;&lt;ref-type name="Book"&gt;6&lt;/ref-type&gt;&lt;contributors&gt;&lt;authors&gt;&lt;author&gt;Moore, Keith L&lt;/author&gt;&lt;author&gt;Dalley, Arthur F&lt;/author&gt;&lt;/authors&gt;&lt;/contributors&gt;&lt;titles&gt;&lt;title&gt;Clinically oriented anatomy&lt;/title&gt;&lt;/titles&gt;&lt;dates&gt;&lt;year&gt;2018&lt;/year&gt;&lt;/dates&gt;&lt;publisher&gt;Wolters kluwer india Pvt Ltd&lt;/publisher&gt;&lt;isbn&gt;9387963683&lt;/isbn&gt;&lt;urls&gt;&lt;/urls&gt;&lt;/record&gt;&lt;/Cite&gt;&lt;/EndNote&gt;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(Abulhasan and Grey, 2017, Moore and Dalley, 2018)</w:t>
      </w:r>
      <w:r>
        <w:rPr>
          <w:rFonts w:asciiTheme="majorBidi" w:hAnsiTheme="majorBidi" w:cstheme="majorBidi"/>
          <w:sz w:val="28"/>
          <w:szCs w:val="28"/>
        </w:rPr>
        <w:fldChar w:fldCharType="end"/>
      </w:r>
      <w:r w:rsidRPr="003F15A6">
        <w:rPr>
          <w:rFonts w:asciiTheme="majorBidi" w:hAnsiTheme="majorBidi" w:cstheme="majorBidi"/>
          <w:sz w:val="28"/>
          <w:szCs w:val="28"/>
        </w:rPr>
        <w:t>. Here's an overview of the anatomy of the knee joint</w:t>
      </w:r>
      <w:r>
        <w:rPr>
          <w:rFonts w:asciiTheme="majorBidi" w:hAnsiTheme="majorBidi" w:cstheme="majorBidi"/>
          <w:sz w:val="28"/>
          <w:szCs w:val="28"/>
        </w:rPr>
        <w:t xml:space="preserve"> (F</w:t>
      </w:r>
      <w:r w:rsidRPr="00E10D2F">
        <w:rPr>
          <w:rFonts w:asciiTheme="majorBidi" w:hAnsiTheme="majorBidi" w:cstheme="majorBidi"/>
          <w:sz w:val="28"/>
          <w:szCs w:val="28"/>
        </w:rPr>
        <w:t>ig</w:t>
      </w:r>
      <w:r>
        <w:rPr>
          <w:rFonts w:asciiTheme="majorBidi" w:hAnsiTheme="majorBidi" w:cstheme="majorBidi"/>
          <w:sz w:val="28"/>
          <w:szCs w:val="28"/>
        </w:rPr>
        <w:t xml:space="preserve"> 2.</w:t>
      </w:r>
      <w:r w:rsidRPr="00E10D2F">
        <w:rPr>
          <w:rFonts w:asciiTheme="majorBidi" w:hAnsiTheme="majorBidi" w:cstheme="majorBidi"/>
          <w:sz w:val="28"/>
          <w:szCs w:val="28"/>
        </w:rPr>
        <w:t>1</w:t>
      </w:r>
      <w:r>
        <w:rPr>
          <w:rFonts w:asciiTheme="majorBidi" w:hAnsiTheme="majorBidi" w:cstheme="majorBidi"/>
          <w:sz w:val="28"/>
          <w:szCs w:val="28"/>
        </w:rPr>
        <w:t>.)</w:t>
      </w:r>
      <w:r w:rsidRPr="00E10D2F">
        <w:rPr>
          <w:rFonts w:asciiTheme="majorBidi" w:hAnsiTheme="majorBidi" w:cstheme="majorBidi"/>
          <w:sz w:val="28"/>
          <w:szCs w:val="28"/>
        </w:rPr>
        <w:t>.</w:t>
      </w:r>
      <w:r w:rsidRPr="00DF4746">
        <w:rPr>
          <w:rFonts w:asciiTheme="majorBidi" w:hAnsiTheme="majorBidi" w:cstheme="majorBidi"/>
          <w:b/>
          <w:bCs/>
          <w:color w:val="000000" w:themeColor="text1"/>
          <w:sz w:val="28"/>
          <w:szCs w:val="28"/>
        </w:rPr>
        <w:t xml:space="preserve"> </w:t>
      </w:r>
    </w:p>
    <w:p w:rsidR="00C85AF5" w:rsidRPr="001B7E1E" w:rsidRDefault="00C85AF5" w:rsidP="00C85AF5">
      <w:pPr>
        <w:spacing w:line="360" w:lineRule="auto"/>
        <w:jc w:val="both"/>
        <w:rPr>
          <w:rFonts w:asciiTheme="majorBidi" w:hAnsiTheme="majorBidi" w:cstheme="majorBidi"/>
          <w:color w:val="000000" w:themeColor="text1"/>
          <w:sz w:val="28"/>
          <w:szCs w:val="28"/>
        </w:rPr>
      </w:pPr>
      <w:r w:rsidRPr="001B7E1E">
        <w:rPr>
          <w:rFonts w:asciiTheme="majorBidi" w:hAnsiTheme="majorBidi" w:cstheme="majorBidi"/>
          <w:color w:val="000000" w:themeColor="text1"/>
          <w:sz w:val="28"/>
          <w:szCs w:val="28"/>
        </w:rPr>
        <w:t xml:space="preserve">The femur, constituting the upper leg bone, plays a crucial role in forming the upper part of the knee joint. At its distal end, the femur features two rounded condyles: the medial condyle and the lateral condyle, both of which articulate with the tibia. Oppositely, the tibia, commonly known as the shin bone, is the larger of the two lower leg bones and comprises the lower part of the knee joint. Its medial tibial plateau and lateral tibial plateau, two flat, plateau-like surfaces, articulate with the femoral condyles, contributing to the knee's structural integrity </w:t>
      </w:r>
      <w:r>
        <w:rPr>
          <w:rFonts w:asciiTheme="majorBidi" w:hAnsiTheme="majorBidi" w:cstheme="majorBidi"/>
          <w:color w:val="000000" w:themeColor="text1"/>
          <w:sz w:val="28"/>
          <w:szCs w:val="28"/>
        </w:rPr>
        <w:fldChar w:fldCharType="begin"/>
      </w:r>
      <w:r>
        <w:rPr>
          <w:rFonts w:asciiTheme="majorBidi" w:hAnsiTheme="majorBidi" w:cstheme="majorBidi"/>
          <w:color w:val="000000" w:themeColor="text1"/>
          <w:sz w:val="28"/>
          <w:szCs w:val="28"/>
        </w:rPr>
        <w:instrText xml:space="preserve"> ADDIN EN.CITE &lt;EndNote&gt;&lt;Cite&gt;&lt;Author&gt;He&lt;/Author&gt;&lt;Year&gt;2023&lt;/Year&gt;&lt;RecNum&gt;21&lt;/RecNum&gt;&lt;DisplayText&gt;(He et al., 2023)&lt;/DisplayText&gt;&lt;record&gt;&lt;rec-number&gt;21&lt;/rec-number&gt;&lt;foreign-keys&gt;&lt;key app="EN" db-id="9spzx9t20pvxenev0tipzdr82dazvrfef9fe" timestamp="1702445744"&gt;21&lt;/key&gt;&lt;/foreign-keys&gt;&lt;ref-type name="Journal Article"&gt;17&lt;/ref-type&gt;&lt;contributors&gt;&lt;authors&gt;&lt;author&gt;He, Hongjia&lt;/author&gt;&lt;author&gt;Banks, Scott A&lt;/author&gt;&lt;author&gt;Biedrzycki, Adam H&lt;/author&gt;&lt;/authors&gt;&lt;/contributors&gt;&lt;titles&gt;&lt;title&gt;Anatomical variations of the equine femur and tibia using statistical shape modeling&lt;/title&gt;&lt;secondary-title&gt;Plos one&lt;/secondary-title&gt;&lt;/titles&gt;&lt;periodical&gt;&lt;full-title&gt;Plos one&lt;/full-title&gt;&lt;/periodical&gt;&lt;pages&gt;e0287381&lt;/pages&gt;&lt;volume&gt;18&lt;/volume&gt;&lt;number&gt;6&lt;/number&gt;&lt;dates&gt;&lt;year&gt;2023&lt;/year&gt;&lt;/dates&gt;&lt;isbn&gt;1932-6203&lt;/isbn&gt;&lt;urls&gt;&lt;/urls&gt;&lt;/record&gt;&lt;/Cite&gt;&lt;/EndNote&gt;</w:instrText>
      </w:r>
      <w:r>
        <w:rPr>
          <w:rFonts w:asciiTheme="majorBidi" w:hAnsiTheme="majorBidi" w:cstheme="majorBidi"/>
          <w:color w:val="000000" w:themeColor="text1"/>
          <w:sz w:val="28"/>
          <w:szCs w:val="28"/>
        </w:rPr>
        <w:fldChar w:fldCharType="separate"/>
      </w:r>
      <w:r>
        <w:rPr>
          <w:rFonts w:asciiTheme="majorBidi" w:hAnsiTheme="majorBidi" w:cstheme="majorBidi"/>
          <w:noProof/>
          <w:color w:val="000000" w:themeColor="text1"/>
          <w:sz w:val="28"/>
          <w:szCs w:val="28"/>
        </w:rPr>
        <w:t>(He et al., 2023)</w:t>
      </w:r>
      <w:r>
        <w:rPr>
          <w:rFonts w:asciiTheme="majorBidi" w:hAnsiTheme="majorBidi" w:cstheme="majorBidi"/>
          <w:color w:val="000000" w:themeColor="text1"/>
          <w:sz w:val="28"/>
          <w:szCs w:val="28"/>
        </w:rPr>
        <w:fldChar w:fldCharType="end"/>
      </w:r>
      <w:r w:rsidRPr="001B7E1E">
        <w:rPr>
          <w:rFonts w:asciiTheme="majorBidi" w:hAnsiTheme="majorBidi" w:cstheme="majorBidi"/>
          <w:color w:val="000000" w:themeColor="text1"/>
          <w:sz w:val="28"/>
          <w:szCs w:val="28"/>
        </w:rPr>
        <w:t>.</w:t>
      </w:r>
    </w:p>
    <w:p w:rsidR="00C85AF5" w:rsidRPr="001B7E1E" w:rsidRDefault="00C85AF5" w:rsidP="00C85AF5">
      <w:pPr>
        <w:spacing w:line="360" w:lineRule="auto"/>
        <w:jc w:val="both"/>
        <w:rPr>
          <w:rFonts w:asciiTheme="majorBidi" w:hAnsiTheme="majorBidi" w:cstheme="majorBidi"/>
          <w:color w:val="000000" w:themeColor="text1"/>
          <w:sz w:val="28"/>
          <w:szCs w:val="28"/>
        </w:rPr>
      </w:pPr>
      <w:r w:rsidRPr="001B7E1E">
        <w:rPr>
          <w:rFonts w:asciiTheme="majorBidi" w:hAnsiTheme="majorBidi" w:cstheme="majorBidi"/>
          <w:color w:val="000000" w:themeColor="text1"/>
          <w:sz w:val="28"/>
          <w:szCs w:val="28"/>
        </w:rPr>
        <w:t>The patella, or kneecap, is a small, triangular bone positioned within the tendon of the quadriceps muscle on the anterior (front) aspect of the knee. Its primary function lies in acting as a fulcrum, enhancing the leverage of the quadriceps muscles during knee extension.</w:t>
      </w:r>
    </w:p>
    <w:p w:rsidR="00C85AF5" w:rsidRPr="001B7E1E" w:rsidRDefault="00C85AF5" w:rsidP="00C85AF5">
      <w:pPr>
        <w:spacing w:line="360" w:lineRule="auto"/>
        <w:jc w:val="both"/>
        <w:rPr>
          <w:rFonts w:asciiTheme="majorBidi" w:hAnsiTheme="majorBidi" w:cstheme="majorBidi"/>
          <w:color w:val="000000" w:themeColor="text1"/>
          <w:sz w:val="28"/>
          <w:szCs w:val="28"/>
        </w:rPr>
      </w:pPr>
      <w:r w:rsidRPr="001B7E1E">
        <w:rPr>
          <w:rFonts w:asciiTheme="majorBidi" w:hAnsiTheme="majorBidi" w:cstheme="majorBidi"/>
          <w:color w:val="000000" w:themeColor="text1"/>
          <w:sz w:val="28"/>
          <w:szCs w:val="28"/>
        </w:rPr>
        <w:lastRenderedPageBreak/>
        <w:t>Situated between the femoral condyles and tibial plateaus are the menisci—two C-shaped cartilage structures identified as the medial meniscus and lateral meniscus. These menisci serve essential roles in the knee joint, providing cushioning, stability, and facilitating even load distributio</w:t>
      </w:r>
      <w:r>
        <w:rPr>
          <w:rFonts w:asciiTheme="majorBidi" w:hAnsiTheme="majorBidi" w:cstheme="majorBidi"/>
          <w:color w:val="000000" w:themeColor="text1"/>
          <w:sz w:val="28"/>
          <w:szCs w:val="28"/>
        </w:rPr>
        <w:t xml:space="preserve">n </w:t>
      </w:r>
      <w:r>
        <w:rPr>
          <w:rFonts w:asciiTheme="majorBidi" w:hAnsiTheme="majorBidi" w:cstheme="majorBidi"/>
          <w:color w:val="000000" w:themeColor="text1"/>
          <w:sz w:val="28"/>
          <w:szCs w:val="28"/>
        </w:rPr>
        <w:fldChar w:fldCharType="begin"/>
      </w:r>
      <w:r>
        <w:rPr>
          <w:rFonts w:asciiTheme="majorBidi" w:hAnsiTheme="majorBidi" w:cstheme="majorBidi"/>
          <w:color w:val="000000" w:themeColor="text1"/>
          <w:sz w:val="28"/>
          <w:szCs w:val="28"/>
        </w:rPr>
        <w:instrText xml:space="preserve"> ADDIN EN.CITE &lt;EndNote&gt;&lt;Cite&gt;&lt;Author&gt;Standring&lt;/Author&gt;&lt;Year&gt;2021&lt;/Year&gt;&lt;RecNum&gt;17&lt;/RecNum&gt;&lt;DisplayText&gt;(Standring, 2021, Meyler, 2022)&lt;/DisplayText&gt;&lt;record&gt;&lt;rec-number&gt;17&lt;/rec-number&gt;&lt;foreign-keys&gt;&lt;key app="EN" db-id="9spzx9t20pvxenev0tipzdr82dazvrfef9fe" timestamp="1702442396"&gt;17&lt;/key&gt;&lt;/foreign-keys&gt;&lt;ref-type name="Book"&gt;6&lt;/ref-type&gt;&lt;contributors&gt;&lt;authors&gt;&lt;author&gt;Standring, Susan&lt;/author&gt;&lt;/authors&gt;&lt;/contributors&gt;&lt;titles&gt;&lt;title&gt;Gray&amp;apos;s anatomy e-book: the anatomical basis of clinical practice&lt;/title&gt;&lt;/titles&gt;&lt;dates&gt;&lt;year&gt;2021&lt;/year&gt;&lt;/dates&gt;&lt;publisher&gt;Elsevier Health Sciences&lt;/publisher&gt;&lt;isbn&gt;0702077070&lt;/isbn&gt;&lt;urls&gt;&lt;/urls&gt;&lt;/record&gt;&lt;/Cite&gt;&lt;Cite&gt;&lt;Author&gt;Meyler&lt;/Author&gt;&lt;Year&gt;2022&lt;/Year&gt;&lt;RecNum&gt;22&lt;/RecNum&gt;&lt;record&gt;&lt;rec-number&gt;22&lt;/rec-number&gt;&lt;foreign-keys&gt;&lt;key app="EN" db-id="9spzx9t20pvxenev0tipzdr82dazvrfef9fe" timestamp="1702445829"&gt;22&lt;/key&gt;&lt;/foreign-keys&gt;&lt;ref-type name="Generic"&gt;13&lt;/ref-type&gt;&lt;contributors&gt;&lt;authors&gt;&lt;author&gt;Meyler, Zinovy&lt;/author&gt;&lt;/authors&gt;&lt;/contributors&gt;&lt;titles&gt;&lt;title&gt;Knee anatomy&lt;/title&gt;&lt;/titles&gt;&lt;dates&gt;&lt;year&gt;2022&lt;/year&gt;&lt;/dates&gt;&lt;publisher&gt;Arthritis-health&lt;/publisher&gt;&lt;urls&gt;&lt;/urls&gt;&lt;/record&gt;&lt;/Cite&gt;&lt;/EndNote&gt;</w:instrText>
      </w:r>
      <w:r>
        <w:rPr>
          <w:rFonts w:asciiTheme="majorBidi" w:hAnsiTheme="majorBidi" w:cstheme="majorBidi"/>
          <w:color w:val="000000" w:themeColor="text1"/>
          <w:sz w:val="28"/>
          <w:szCs w:val="28"/>
        </w:rPr>
        <w:fldChar w:fldCharType="separate"/>
      </w:r>
      <w:r>
        <w:rPr>
          <w:rFonts w:asciiTheme="majorBidi" w:hAnsiTheme="majorBidi" w:cstheme="majorBidi"/>
          <w:noProof/>
          <w:color w:val="000000" w:themeColor="text1"/>
          <w:sz w:val="28"/>
          <w:szCs w:val="28"/>
        </w:rPr>
        <w:t>(Standring, 2021, Meyler, 2022)</w:t>
      </w:r>
      <w:r>
        <w:rPr>
          <w:rFonts w:asciiTheme="majorBidi" w:hAnsiTheme="majorBidi" w:cstheme="majorBidi"/>
          <w:color w:val="000000" w:themeColor="text1"/>
          <w:sz w:val="28"/>
          <w:szCs w:val="28"/>
        </w:rPr>
        <w:fldChar w:fldCharType="end"/>
      </w:r>
      <w:r>
        <w:rPr>
          <w:rFonts w:asciiTheme="majorBidi" w:hAnsiTheme="majorBidi" w:cstheme="majorBidi"/>
          <w:color w:val="000000" w:themeColor="text1"/>
          <w:sz w:val="28"/>
          <w:szCs w:val="28"/>
        </w:rPr>
        <w:t xml:space="preserve">. </w:t>
      </w:r>
      <w:r w:rsidRPr="001B7E1E">
        <w:rPr>
          <w:rFonts w:asciiTheme="majorBidi" w:hAnsiTheme="majorBidi" w:cstheme="majorBidi"/>
          <w:color w:val="000000" w:themeColor="text1"/>
          <w:sz w:val="28"/>
          <w:szCs w:val="28"/>
        </w:rPr>
        <w:t>Together, these components form a complex but finely tuned system that enables the knee's intricate movements and functions.</w:t>
      </w:r>
    </w:p>
    <w:p w:rsidR="00C85AF5" w:rsidRPr="003F15A6" w:rsidRDefault="00C85AF5" w:rsidP="00C85AF5">
      <w:pPr>
        <w:spacing w:line="360" w:lineRule="auto"/>
        <w:jc w:val="both"/>
        <w:rPr>
          <w:rFonts w:asciiTheme="majorBidi" w:hAnsiTheme="majorBidi" w:cstheme="majorBidi"/>
          <w:sz w:val="28"/>
          <w:szCs w:val="28"/>
        </w:rPr>
      </w:pPr>
    </w:p>
    <w:p w:rsidR="00C85AF5" w:rsidRPr="004851C0" w:rsidRDefault="00C85AF5" w:rsidP="00C85AF5">
      <w:pPr>
        <w:spacing w:line="360" w:lineRule="auto"/>
        <w:jc w:val="both"/>
        <w:rPr>
          <w:rFonts w:asciiTheme="majorBidi" w:hAnsiTheme="majorBidi" w:cstheme="majorBidi"/>
          <w:color w:val="000000" w:themeColor="text1"/>
          <w:sz w:val="28"/>
          <w:szCs w:val="28"/>
        </w:rPr>
      </w:pPr>
    </w:p>
    <w:p w:rsidR="00C85AF5" w:rsidRPr="00EA438B" w:rsidRDefault="00C85AF5" w:rsidP="00C85AF5">
      <w:pPr>
        <w:spacing w:line="360" w:lineRule="auto"/>
        <w:jc w:val="both"/>
        <w:rPr>
          <w:rFonts w:asciiTheme="majorBidi" w:hAnsiTheme="majorBidi" w:cstheme="majorBidi"/>
          <w:color w:val="000000" w:themeColor="text1"/>
          <w:sz w:val="28"/>
          <w:szCs w:val="28"/>
        </w:rPr>
      </w:pPr>
      <w:r>
        <w:rPr>
          <w:rFonts w:asciiTheme="majorBidi" w:hAnsiTheme="majorBidi" w:cstheme="majorBidi"/>
          <w:noProof/>
          <w:sz w:val="28"/>
          <w:szCs w:val="28"/>
        </w:rPr>
        <w:t xml:space="preserve">             </w:t>
      </w:r>
      <w:r>
        <w:rPr>
          <w:rFonts w:asciiTheme="majorBidi" w:hAnsiTheme="majorBidi" w:cstheme="majorBidi"/>
          <w:noProof/>
          <w:sz w:val="28"/>
          <w:szCs w:val="28"/>
        </w:rPr>
        <w:drawing>
          <wp:inline distT="0" distB="0" distL="0" distR="0" wp14:anchorId="2245BCB8" wp14:editId="68659577">
            <wp:extent cx="5305425" cy="3562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ee Anatomy.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5425" cy="3562350"/>
                    </a:xfrm>
                    <a:prstGeom prst="rect">
                      <a:avLst/>
                    </a:prstGeom>
                  </pic:spPr>
                </pic:pic>
              </a:graphicData>
            </a:graphic>
          </wp:inline>
        </w:drawing>
      </w:r>
    </w:p>
    <w:p w:rsidR="00C85AF5" w:rsidRDefault="00C85AF5" w:rsidP="00C85AF5">
      <w:pPr>
        <w:spacing w:line="360" w:lineRule="auto"/>
        <w:rPr>
          <w:rFonts w:asciiTheme="majorBidi" w:hAnsiTheme="majorBidi" w:cstheme="majorBidi"/>
          <w:sz w:val="24"/>
          <w:szCs w:val="24"/>
        </w:rPr>
      </w:pPr>
      <w:r>
        <w:rPr>
          <w:rFonts w:asciiTheme="majorBidi" w:hAnsiTheme="majorBidi" w:cstheme="majorBidi"/>
          <w:sz w:val="28"/>
          <w:szCs w:val="28"/>
        </w:rPr>
        <w:t xml:space="preserve">                                              </w:t>
      </w:r>
      <w:r w:rsidRPr="00EA438B">
        <w:rPr>
          <w:rFonts w:asciiTheme="majorBidi" w:hAnsiTheme="majorBidi" w:cstheme="majorBidi"/>
          <w:sz w:val="28"/>
          <w:szCs w:val="28"/>
        </w:rPr>
        <w:t>Fig</w:t>
      </w:r>
      <w:r>
        <w:rPr>
          <w:rFonts w:asciiTheme="majorBidi" w:hAnsiTheme="majorBidi" w:cstheme="majorBidi"/>
          <w:sz w:val="28"/>
          <w:szCs w:val="28"/>
        </w:rPr>
        <w:t xml:space="preserve"> 2.</w:t>
      </w:r>
      <w:r w:rsidRPr="00EA438B">
        <w:rPr>
          <w:rFonts w:asciiTheme="majorBidi" w:hAnsiTheme="majorBidi" w:cstheme="majorBidi"/>
          <w:sz w:val="28"/>
          <w:szCs w:val="28"/>
        </w:rPr>
        <w:t>1</w:t>
      </w:r>
      <w:r>
        <w:rPr>
          <w:rFonts w:asciiTheme="majorBidi" w:hAnsiTheme="majorBidi" w:cstheme="majorBidi"/>
          <w:sz w:val="28"/>
          <w:szCs w:val="28"/>
        </w:rPr>
        <w:t>.</w:t>
      </w:r>
      <w:r w:rsidRPr="00EA438B">
        <w:rPr>
          <w:rFonts w:asciiTheme="majorBidi" w:hAnsiTheme="majorBidi" w:cstheme="majorBidi"/>
          <w:sz w:val="28"/>
          <w:szCs w:val="28"/>
        </w:rPr>
        <w:t xml:space="preserve"> Anatomy of the knee joint</w:t>
      </w:r>
    </w:p>
    <w:p w:rsidR="00C85AF5" w:rsidRDefault="00C85AF5" w:rsidP="00C85AF5">
      <w:pPr>
        <w:spacing w:line="360" w:lineRule="auto"/>
        <w:rPr>
          <w:rFonts w:asciiTheme="majorBidi" w:hAnsiTheme="majorBidi" w:cstheme="majorBidi"/>
          <w:sz w:val="28"/>
          <w:szCs w:val="28"/>
        </w:rPr>
      </w:pPr>
    </w:p>
    <w:p w:rsidR="00C85AF5" w:rsidRPr="00C125FB" w:rsidRDefault="00C85AF5" w:rsidP="00C85AF5">
      <w:pPr>
        <w:spacing w:line="360" w:lineRule="auto"/>
        <w:jc w:val="both"/>
        <w:rPr>
          <w:rFonts w:asciiTheme="majorBidi" w:hAnsiTheme="majorBidi" w:cstheme="majorBidi"/>
          <w:sz w:val="28"/>
          <w:szCs w:val="28"/>
        </w:rPr>
      </w:pPr>
      <w:r w:rsidRPr="00C125FB">
        <w:rPr>
          <w:rFonts w:asciiTheme="majorBidi" w:hAnsiTheme="majorBidi" w:cstheme="majorBidi"/>
          <w:sz w:val="28"/>
          <w:szCs w:val="28"/>
        </w:rPr>
        <w:t xml:space="preserve">The stability of the knee joint is maintained through the collaboration of various ligaments, including the Anterior Cruciate Ligament (ACL), which prevents excessive forward movement of the tibia in relation to the femur, and the Posterior Cruciate Ligament (PCL), which hinders excessive backward </w:t>
      </w:r>
      <w:r w:rsidRPr="00C125FB">
        <w:rPr>
          <w:rFonts w:asciiTheme="majorBidi" w:hAnsiTheme="majorBidi" w:cstheme="majorBidi"/>
          <w:sz w:val="28"/>
          <w:szCs w:val="28"/>
        </w:rPr>
        <w:lastRenderedPageBreak/>
        <w:t xml:space="preserve">movement. Adding to this stability are the Medial Collateral Ligament (MCL) on the inner side and the Lateral Collateral Ligament (LCL) on the outer side of the knee. The joint capsule, a robust and fibrous structure enveloping the knee joint, serves to bind the bones together, with its synovial membrane producing synovial fluid for lubrication and cartilage nourishment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&lt;EndNote&gt;&lt;Cite&gt;&lt;Author&gt;Drake&lt;/Author&gt;&lt;Year&gt;2009&lt;/Year&gt;&lt;RecNum&gt;16&lt;/RecNum&gt;&lt;DisplayText&gt;(Drake et al., 2009, Standring, 2021)&lt;/DisplayText&gt;&lt;record&gt;&lt;rec-number&gt;16&lt;/rec-number&gt;&lt;foreign-keys&gt;&lt;key app="EN" db-id="9spzx9t20pvxenev0tipzdr82dazvrfef9fe" timestamp="1702442350"&gt;16&lt;/key&gt;&lt;/foreign-keys&gt;&lt;ref-type name="Book"&gt;6&lt;/ref-type&gt;&lt;contributors&gt;&lt;authors&gt;&lt;author&gt;Drake, Richard&lt;/author&gt;&lt;author&gt;Vogl, A Wayne&lt;/author&gt;&lt;author&gt;Mitchell, Adam WM&lt;/author&gt;&lt;/authors&gt;&lt;/contributors&gt;&lt;titles&gt;&lt;title&gt;Gray&amp;apos;s anatomy for students E-book&lt;/title&gt;&lt;/titles&gt;&lt;dates&gt;&lt;year&gt;2009&lt;/year&gt;&lt;/dates&gt;&lt;publisher&gt;Elsevier Health Sciences&lt;/publisher&gt;&lt;isbn&gt;1437720552&lt;/isbn&gt;&lt;urls&gt;&lt;/urls&gt;&lt;/record&gt;&lt;/Cite&gt;&lt;Cite&gt;&lt;Author&gt;Standring&lt;/Author&gt;&lt;Year&gt;2021&lt;/Year&gt;&lt;RecNum&gt;23&lt;/RecNum&gt;&lt;record&gt;&lt;rec-number&gt;23&lt;/rec-number&gt;&lt;foreign-keys&gt;&lt;key app="EN" db-id="9spzx9t20pvxenev0tipzdr82dazvrfef9fe" timestamp="1702447416"&gt;23&lt;/key&gt;&lt;/foreign-keys&gt;&lt;ref-type name="Book"&gt;6&lt;/ref-type&gt;&lt;contributors&gt;&lt;authors&gt;&lt;author&gt;Standring, Susan&lt;/author&gt;&lt;/authors&gt;&lt;/contributors&gt;&lt;titles&gt;&lt;title&gt;Gray&amp;apos;s anatomy e-book: the anatomical basis of clinical practice&lt;/title&gt;&lt;/titles&gt;&lt;dates&gt;&lt;year&gt;2021&lt;/year&gt;&lt;/dates&gt;&lt;publisher&gt;Elsevier Health Sciences&lt;/publisher&gt;&lt;isbn&gt;0702077070&lt;/isbn&gt;&lt;urls&gt;&lt;/urls&gt;&lt;/record&gt;&lt;/Cite&gt;&lt;/EndNote&gt;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(Drake et al., 2009, Standring, 2021)</w:t>
      </w:r>
      <w:r>
        <w:rPr>
          <w:rFonts w:asciiTheme="majorBidi" w:hAnsiTheme="majorBidi" w:cstheme="majorBidi"/>
          <w:sz w:val="28"/>
          <w:szCs w:val="28"/>
        </w:rPr>
        <w:fldChar w:fldCharType="end"/>
      </w:r>
      <w:r w:rsidRPr="00C125FB">
        <w:rPr>
          <w:rFonts w:asciiTheme="majorBidi" w:hAnsiTheme="majorBidi" w:cstheme="majorBidi"/>
          <w:sz w:val="28"/>
          <w:szCs w:val="28"/>
        </w:rPr>
        <w:t>.</w:t>
      </w:r>
    </w:p>
    <w:p w:rsidR="00C85AF5" w:rsidRPr="00C125FB" w:rsidRDefault="00C85AF5" w:rsidP="00C85AF5">
      <w:pPr>
        <w:spacing w:line="360" w:lineRule="auto"/>
        <w:jc w:val="both"/>
        <w:rPr>
          <w:rFonts w:asciiTheme="majorBidi" w:hAnsiTheme="majorBidi" w:cstheme="majorBidi"/>
          <w:sz w:val="28"/>
          <w:szCs w:val="28"/>
        </w:rPr>
      </w:pPr>
      <w:r w:rsidRPr="00C125FB">
        <w:rPr>
          <w:rFonts w:asciiTheme="majorBidi" w:hAnsiTheme="majorBidi" w:cstheme="majorBidi"/>
          <w:sz w:val="28"/>
          <w:szCs w:val="28"/>
        </w:rPr>
        <w:t xml:space="preserve">Contributing to the knee's movement are the Quadriceps muscles, located on the front of the thigh, responsible for knee extension, and the Hamstring muscles at the back of the thigh, facilitating knee flexion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&lt;EndNote&gt;&lt;Cite&gt;&lt;Author&gt;Drake&lt;/Author&gt;&lt;Year&gt;2012&lt;/Year&gt;&lt;RecNum&gt;24&lt;/RecNum&gt;&lt;DisplayText&gt;(Drake et al., 2012)&lt;/DisplayText&gt;&lt;record&gt;&lt;rec-number&gt;24&lt;/rec-number&gt;&lt;foreign-keys&gt;&lt;key app="EN" db-id="9spzx9t20pvxenev0tipzdr82dazvrfef9fe" timestamp="1702447532"&gt;24&lt;/key&gt;&lt;/foreign-keys&gt;&lt;ref-type name="Book"&gt;6&lt;/ref-type&gt;&lt;contributors&gt;&lt;authors&gt;&lt;author&gt;Drake, Richard&lt;/author&gt;&lt;author&gt;Drake, Richard Lee&lt;/author&gt;&lt;author&gt;Vogl, Wayne&lt;/author&gt;&lt;author&gt;Mitchell, Adam WM&lt;/author&gt;&lt;/authors&gt;&lt;/contributors&gt;&lt;titles&gt;&lt;title&gt;Gray&amp;apos;s basic anatomy&lt;/title&gt;&lt;/titles&gt;&lt;dates&gt;&lt;year&gt;2012&lt;/year&gt;&lt;/dates&gt;&lt;publisher&gt;Elsevier Health Sciences&lt;/publisher&gt;&lt;isbn&gt;1455710784&lt;/isbn&gt;&lt;urls&gt;&lt;/urls&gt;&lt;/record&gt;&lt;/Cite&gt;&lt;/EndNote&gt;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(Drake et al., 2012)</w:t>
      </w:r>
      <w:r>
        <w:rPr>
          <w:rFonts w:asciiTheme="majorBidi" w:hAnsiTheme="majorBidi" w:cstheme="majorBidi"/>
          <w:sz w:val="28"/>
          <w:szCs w:val="28"/>
        </w:rPr>
        <w:fldChar w:fldCharType="end"/>
      </w:r>
      <w:r w:rsidRPr="00C125FB">
        <w:rPr>
          <w:rFonts w:asciiTheme="majorBidi" w:hAnsiTheme="majorBidi" w:cstheme="majorBidi"/>
          <w:sz w:val="28"/>
          <w:szCs w:val="28"/>
        </w:rPr>
        <w:t>. Bursae, small fluid-filled sacs, minimize friction between tendons, ligaments, and bones, and the synovial membrane, lining the inner surface of the joint capsule, produces synovial fluid to further reduce friction.</w:t>
      </w:r>
    </w:p>
    <w:p w:rsidR="00C85AF5" w:rsidRDefault="00C85AF5" w:rsidP="00C85AF5">
      <w:pPr>
        <w:spacing w:line="360" w:lineRule="auto"/>
        <w:jc w:val="both"/>
        <w:rPr>
          <w:rFonts w:asciiTheme="majorBidi" w:hAnsiTheme="majorBidi" w:cstheme="majorBidi"/>
          <w:sz w:val="28"/>
          <w:szCs w:val="28"/>
        </w:rPr>
      </w:pPr>
      <w:r w:rsidRPr="00C125FB">
        <w:rPr>
          <w:rFonts w:asciiTheme="majorBidi" w:hAnsiTheme="majorBidi" w:cstheme="majorBidi"/>
          <w:sz w:val="28"/>
          <w:szCs w:val="28"/>
        </w:rPr>
        <w:t xml:space="preserve">Completing the intricate system are blood vessels supplying oxygen and nutrients to the knee joint, along with nerves that transmit signals for sensation and motor control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&lt;EndNote&gt;&lt;Cite&gt;&lt;Author&gt;Drake&lt;/Author&gt;&lt;Year&gt;2012&lt;/Year&gt;&lt;RecNum&gt;24&lt;/RecNum&gt;&lt;DisplayText&gt;(Drake et al., 2012, Standring, 2021)&lt;/DisplayText&gt;&lt;record&gt;&lt;rec-number&gt;24&lt;/rec-number&gt;&lt;foreign-keys&gt;&lt;key app="EN" db-id="9spzx9t20pvxenev0tipzdr82dazvrfef9fe" timestamp="1702447532"&gt;24&lt;/key&gt;&lt;/foreign-keys&gt;&lt;ref-type name="Book"&gt;6&lt;/ref-type&gt;&lt;contributors&gt;&lt;authors&gt;&lt;author&gt;Drake, Richard&lt;/author&gt;&lt;author&gt;Drake, Richard Lee&lt;/author&gt;&lt;author&gt;Vogl, Wayne&lt;/author&gt;&lt;author&gt;Mitchell, Adam WM&lt;/author&gt;&lt;/authors&gt;&lt;/contributors&gt;&lt;titles&gt;&lt;title&gt;Gray&amp;apos;s basic anatomy&lt;/title&gt;&lt;/titles&gt;&lt;dates&gt;&lt;year&gt;2012&lt;/year&gt;&lt;/dates&gt;&lt;publisher&gt;Elsevier Health Sciences&lt;/publisher&gt;&lt;isbn&gt;1455710784&lt;/isbn&gt;&lt;urls&gt;&lt;/urls&gt;&lt;/record&gt;&lt;/Cite&gt;&lt;Cite&gt;&lt;Author&gt;Standring&lt;/Author&gt;&lt;Year&gt;2021&lt;/Year&gt;&lt;RecNum&gt;17&lt;/RecNum&gt;&lt;record&gt;&lt;rec-number&gt;17&lt;/rec-number&gt;&lt;foreign-keys&gt;&lt;key app="EN" db-id="9spzx9t20pvxenev0tipzdr82dazvrfef9fe" timestamp="1702442396"&gt;17&lt;/key&gt;&lt;/foreign-keys&gt;&lt;ref-type name="Book"&gt;6&lt;/ref-type&gt;&lt;contributors&gt;&lt;authors&gt;&lt;author&gt;Standring, Susan&lt;/author&gt;&lt;/authors&gt;&lt;/contributors&gt;&lt;titles&gt;&lt;title&gt;Gray&amp;apos;s anatomy e-book: the anatomical basis of clinical practice&lt;/title&gt;&lt;/titles&gt;&lt;dates&gt;&lt;year&gt;2021&lt;/year&gt;&lt;/dates&gt;&lt;publisher&gt;Elsevier Health Sciences&lt;/publisher&gt;&lt;isbn&gt;0702077070&lt;/isbn&gt;&lt;urls&gt;&lt;/urls&gt;&lt;/record&gt;&lt;/Cite&gt;&lt;/EndNote&gt;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(Drake et al., 2012, Standring, 2021)</w:t>
      </w:r>
      <w:r>
        <w:rPr>
          <w:rFonts w:asciiTheme="majorBidi" w:hAnsiTheme="majorBidi" w:cstheme="majorBidi"/>
          <w:sz w:val="28"/>
          <w:szCs w:val="28"/>
        </w:rPr>
        <w:fldChar w:fldCharType="end"/>
      </w:r>
      <w:r w:rsidRPr="00C125FB">
        <w:rPr>
          <w:rFonts w:asciiTheme="majorBidi" w:hAnsiTheme="majorBidi" w:cstheme="majorBidi"/>
          <w:sz w:val="28"/>
          <w:szCs w:val="28"/>
        </w:rPr>
        <w:t>. The harmonious interplay of these components is vital for the proper functioning of the knee joint. Injuries or conditions affecting any of these structures can result in knee pain and diminished mobility. Therefore, preserving the health of the knee joint is crucial for overall mobility and an individual's quality of life.</w:t>
      </w:r>
    </w:p>
    <w:p w:rsidR="00C85AF5" w:rsidRDefault="00C85AF5" w:rsidP="00C85AF5">
      <w:pPr>
        <w:spacing w:line="360" w:lineRule="auto"/>
        <w:jc w:val="both"/>
        <w:rPr>
          <w:rFonts w:asciiTheme="majorBidi" w:hAnsiTheme="majorBidi" w:cstheme="majorBidi"/>
          <w:sz w:val="28"/>
          <w:szCs w:val="28"/>
        </w:rPr>
      </w:pPr>
    </w:p>
    <w:p w:rsidR="00C85AF5" w:rsidRPr="0010793D"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b/>
          <w:bCs/>
          <w:sz w:val="28"/>
          <w:szCs w:val="28"/>
        </w:rPr>
      </w:pPr>
    </w:p>
    <w:p w:rsidR="00C85AF5"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2.3. Signs and symptoms of o</w:t>
      </w:r>
      <w:r w:rsidRPr="00751669">
        <w:rPr>
          <w:rFonts w:asciiTheme="majorBidi" w:hAnsiTheme="majorBidi" w:cstheme="majorBidi"/>
          <w:b/>
          <w:bCs/>
          <w:sz w:val="28"/>
          <w:szCs w:val="28"/>
        </w:rPr>
        <w:t>steoarthritis</w:t>
      </w:r>
    </w:p>
    <w:p w:rsidR="00C85AF5" w:rsidRDefault="00C85AF5" w:rsidP="00C85AF5">
      <w:pPr>
        <w:spacing w:line="360" w:lineRule="auto"/>
        <w:jc w:val="both"/>
        <w:rPr>
          <w:rFonts w:asciiTheme="majorBidi" w:hAnsiTheme="majorBidi" w:cstheme="majorBidi"/>
          <w:sz w:val="28"/>
          <w:szCs w:val="28"/>
        </w:rPr>
      </w:pPr>
      <w:r w:rsidRPr="00BC582C">
        <w:rPr>
          <w:rFonts w:asciiTheme="majorBidi" w:hAnsiTheme="majorBidi" w:cstheme="majorBidi"/>
          <w:sz w:val="28"/>
          <w:szCs w:val="28"/>
        </w:rPr>
        <w:t xml:space="preserve">Osteoarthritis (OA) is a progressive joint disease characterized by the breakdown of cartilage, the tissue that cushions the ends of bones within a joint. The most prominent symptom of OA is joint pain, often manifesting as a deep, aching discomfort. This pain typically intensifies during or after </w:t>
      </w:r>
      <w:r>
        <w:rPr>
          <w:rFonts w:asciiTheme="majorBidi" w:hAnsiTheme="majorBidi" w:cstheme="majorBidi"/>
          <w:sz w:val="28"/>
          <w:szCs w:val="28"/>
        </w:rPr>
        <w:t xml:space="preserve">periods of joint </w:t>
      </w:r>
      <w:r>
        <w:rPr>
          <w:rFonts w:asciiTheme="majorBidi" w:hAnsiTheme="majorBidi" w:cstheme="majorBidi"/>
          <w:sz w:val="28"/>
          <w:szCs w:val="28"/>
        </w:rPr>
        <w:lastRenderedPageBreak/>
        <w:t xml:space="preserve">use. </w:t>
      </w:r>
      <w:r w:rsidRPr="00BC582C">
        <w:rPr>
          <w:rFonts w:asciiTheme="majorBidi" w:hAnsiTheme="majorBidi" w:cstheme="majorBidi"/>
          <w:sz w:val="28"/>
          <w:szCs w:val="28"/>
        </w:rPr>
        <w:t xml:space="preserve">As the condition advances, individuals may notice a reduction in joint flexibility, leading to difficulties in bending, kneeling, or </w:t>
      </w:r>
      <w:r>
        <w:rPr>
          <w:rFonts w:asciiTheme="majorBidi" w:hAnsiTheme="majorBidi" w:cstheme="majorBidi"/>
          <w:sz w:val="28"/>
          <w:szCs w:val="28"/>
        </w:rPr>
        <w:t>performing everyday activities</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&lt;EndNote&gt;&lt;Cite&gt;&lt;Author&gt;Favero&lt;/Author&gt;&lt;Year&gt;2015&lt;/Year&gt;&lt;RecNum&gt;25&lt;/RecNum&gt;&lt;DisplayText&gt;(Favero et al., 2015, Sharma, 2021)&lt;/DisplayText&gt;&lt;record&gt;&lt;rec-number&gt;25&lt;/rec-number&gt;&lt;foreign-keys&gt;&lt;key app="EN" db-id="9spzx9t20pvxenev0tipzdr82dazvrfef9fe" timestamp="1702448231"&gt;25&lt;/key&gt;&lt;/foreign-keys&gt;&lt;ref-type name="Journal Article"&gt;17&lt;/ref-type&gt;&lt;contributors&gt;&lt;authors&gt;&lt;author&gt;Favero, Marta&lt;/author&gt;&lt;author&gt;Ramonda, Roberta&lt;/author&gt;&lt;author&gt;Goldring, Mary B&lt;/author&gt;&lt;author&gt;Goldring, Steven R&lt;/author&gt;&lt;author&gt;Punzi, Leonardo&lt;/author&gt;&lt;/authors&gt;&lt;/contributors&gt;&lt;titles&gt;&lt;title&gt;Early knee osteoarthritis&lt;/title&gt;&lt;secondary-title&gt;RMD open&lt;/secondary-title&gt;&lt;/titles&gt;&lt;periodical&gt;&lt;full-title&gt;RMD open&lt;/full-title&gt;&lt;/periodical&gt;&lt;pages&gt;e000062&lt;/pages&gt;&lt;volume&gt;1&lt;/volume&gt;&lt;number&gt;Suppl 1&lt;/number&gt;&lt;dates&gt;&lt;year&gt;2015&lt;/year&gt;&lt;/dates&gt;&lt;isbn&gt;2056-5933&lt;/isbn&gt;&lt;urls&gt;&lt;/urls&gt;&lt;/record&gt;&lt;/Cite&gt;&lt;Cite&gt;&lt;Author&gt;Sharma&lt;/Author&gt;&lt;Year&gt;2021&lt;/Year&gt;&lt;RecNum&gt;26&lt;/RecNum&gt;&lt;record&gt;&lt;rec-number&gt;26&lt;/rec-number&gt;&lt;foreign-keys&gt;&lt;key app="EN" db-id="9spzx9t20pvxenev0tipzdr82dazvrfef9fe" timestamp="1702448263"&gt;26&lt;/key&gt;&lt;/foreign-keys&gt;&lt;ref-type name="Journal Article"&gt;17&lt;/ref-type&gt;&lt;contributors&gt;&lt;authors&gt;&lt;author&gt;Sharma, Leena&lt;/author&gt;&lt;/authors&gt;&lt;/contributors&gt;&lt;titles&gt;&lt;title&gt;Osteoarthritis of the knee&lt;/title&gt;&lt;secondary-title&gt;New England Journal of Medicine&lt;/secondary-title&gt;&lt;/titles&gt;&lt;periodical&gt;&lt;full-title&gt;New England Journal of Medicine&lt;/full-title&gt;&lt;/periodical&gt;&lt;pages&gt;51-59&lt;/pages&gt;&lt;volume&gt;384&lt;/volume&gt;&lt;number&gt;1&lt;/number&gt;&lt;dates&gt;&lt;year&gt;2021&lt;/year&gt;&lt;/dates&gt;&lt;isbn&gt;0028-4793&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(Favero et al., 2015, Sharma, 2021)</w:t>
      </w:r>
      <w:r>
        <w:rPr>
          <w:rFonts w:asciiTheme="majorBidi" w:hAnsiTheme="majorBidi" w:cstheme="majorBidi"/>
          <w:sz w:val="28"/>
          <w:szCs w:val="28"/>
        </w:rPr>
        <w:fldChar w:fldCharType="end"/>
      </w:r>
      <w:r w:rsidRPr="00BC582C">
        <w:rPr>
          <w:rFonts w:asciiTheme="majorBidi" w:hAnsiTheme="majorBidi" w:cstheme="majorBidi"/>
          <w:sz w:val="28"/>
          <w:szCs w:val="28"/>
        </w:rPr>
        <w:t>. Crepitus, a crackling or grating sensation during joint movement, may occur due to the roughened surfaces of bones rubbing against each other. Weight-bearing joints such as the knees, hips, and spine are often affected, impacting mobility and overall quality of life. In advanced stages, the formation of osteophytes, or bone spurs, can occur, further contributing to joint pain and limiting joint function.</w:t>
      </w:r>
      <w:r>
        <w:rPr>
          <w:rFonts w:asciiTheme="majorBidi" w:hAnsiTheme="majorBidi" w:cstheme="majorBidi"/>
          <w:sz w:val="28"/>
          <w:szCs w:val="28"/>
        </w:rPr>
        <w:t xml:space="preserve"> </w:t>
      </w:r>
      <w:r w:rsidRPr="00BC582C">
        <w:rPr>
          <w:rFonts w:asciiTheme="majorBidi" w:hAnsiTheme="majorBidi" w:cstheme="majorBidi"/>
          <w:sz w:val="28"/>
          <w:szCs w:val="28"/>
        </w:rPr>
        <w:t>In severe cases of OA, the affected joint may become deformed or misaligned, a noticeable occurrence, particularly in the fingers and toes</w:t>
      </w:r>
      <w:r>
        <w:rPr>
          <w:rFonts w:asciiTheme="majorBidi" w:hAnsiTheme="majorBidi" w:cstheme="majorBidi"/>
          <w:sz w:val="28"/>
          <w:szCs w:val="28"/>
        </w:rPr>
        <w:t xml:space="preserve">. </w:t>
      </w:r>
      <w:r w:rsidRPr="00BC582C">
        <w:rPr>
          <w:rFonts w:asciiTheme="majorBidi" w:hAnsiTheme="majorBidi" w:cstheme="majorBidi"/>
          <w:sz w:val="28"/>
          <w:szCs w:val="28"/>
        </w:rPr>
        <w:t>While there is no cure for osteoarthritis, various treatment options, including lifestyle modifications, physical therapy, and medications, can help manage symptoms and improve joint function. Early detection and intervention play a crucial role in minimizing the impact of osteoarthritis on daily life. Individuals experiencing persistent joint symptoms should consult a healthcare professional for a comprehensive evaluation and personalized management plan</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&lt;EndNote&gt;&lt;Cite&gt;&lt;Author&gt;Mahmoudian&lt;/Author&gt;&lt;Year&gt;2021&lt;/Year&gt;&lt;RecNum&gt;27&lt;/RecNum&gt;&lt;DisplayText&gt;(Mahmoudian et al., 2021, Sharma, 2021)&lt;/DisplayText&gt;&lt;record&gt;&lt;rec-number&gt;27&lt;/rec-number&gt;&lt;foreign-keys&gt;&lt;key app="EN" db-id="9spzx9t20pvxenev0tipzdr82dazvrfef9fe" timestamp="1702448326"&gt;27&lt;/key&gt;&lt;/foreign-keys&gt;&lt;ref-type name="Journal Article"&gt;17&lt;/ref-type&gt;&lt;contributors&gt;&lt;authors&gt;&lt;author&gt;Mahmoudian, Armaghan&lt;/author&gt;&lt;author&gt;Lohmander, L Stefan&lt;/author&gt;&lt;author&gt;Mobasheri, Ali&lt;/author&gt;&lt;author&gt;Englund, Martin&lt;/author&gt;&lt;author&gt;Luyten, Frank P&lt;/author&gt;&lt;/authors&gt;&lt;/contributors&gt;&lt;titles&gt;&lt;title&gt;Early-stage symptomatic osteoarthritis of the knee—time for action&lt;/title&gt;&lt;secondary-title&gt;Nature Reviews Rheumatology&lt;/secondary-title&gt;&lt;/titles&gt;&lt;periodical&gt;&lt;full-title&gt;Nature Reviews Rheumatology&lt;/full-title&gt;&lt;/periodical&gt;&lt;pages&gt;621-632&lt;/pages&gt;&lt;volume&gt;17&lt;/volume&gt;&lt;number&gt;10&lt;/number&gt;&lt;dates&gt;&lt;year&gt;2021&lt;/year&gt;&lt;/dates&gt;&lt;isbn&gt;1759-4790&lt;/isbn&gt;&lt;urls&gt;&lt;/urls&gt;&lt;/record&gt;&lt;/Cite&gt;&lt;Cite&gt;&lt;Author&gt;Sharma&lt;/Author&gt;&lt;Year&gt;2021&lt;/Year&gt;&lt;RecNum&gt;26&lt;/RecNum&gt;&lt;record&gt;&lt;rec-number&gt;26&lt;/rec-number&gt;&lt;foreign-keys&gt;&lt;key app="EN" db-id="9spzx9t20pvxenev0tipzdr82dazvrfef9fe" timestamp="1702448263"&gt;26&lt;/key&gt;&lt;/foreign-keys&gt;&lt;ref-type name="Journal Article"&gt;17&lt;/ref-type&gt;&lt;contributors&gt;&lt;authors&gt;&lt;author&gt;Sharma, Leena&lt;/author&gt;&lt;/authors&gt;&lt;/contributors&gt;&lt;titles&gt;&lt;title&gt;Osteoarthritis of the knee&lt;/title&gt;&lt;secondary-title&gt;New England Journal of Medicine&lt;/secondary-title&gt;&lt;/titles&gt;&lt;periodical&gt;&lt;full-title&gt;New England Journal of Medicine&lt;/full-title&gt;&lt;/periodical&gt;&lt;pages&gt;51-59&lt;/pages&gt;&lt;volume&gt;384&lt;/volume&gt;&lt;number&gt;1&lt;/number&gt;&lt;dates&gt;&lt;year&gt;2021&lt;/year&gt;&lt;/dates&gt;&lt;isbn&gt;0028-4793&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(Mahmoudian et al., 2021, Sharma, 2021)</w:t>
      </w:r>
      <w:r>
        <w:rPr>
          <w:rFonts w:asciiTheme="majorBidi" w:hAnsiTheme="majorBidi" w:cstheme="majorBidi"/>
          <w:sz w:val="28"/>
          <w:szCs w:val="28"/>
        </w:rPr>
        <w:fldChar w:fldCharType="end"/>
      </w:r>
      <w:r w:rsidRPr="00BC582C">
        <w:rPr>
          <w:rFonts w:asciiTheme="majorBidi" w:hAnsiTheme="majorBidi" w:cstheme="majorBidi"/>
          <w:sz w:val="28"/>
          <w:szCs w:val="28"/>
        </w:rPr>
        <w:t xml:space="preserve">. </w:t>
      </w:r>
    </w:p>
    <w:p w:rsidR="00C85AF5" w:rsidRDefault="00C85AF5" w:rsidP="00C85AF5">
      <w:pPr>
        <w:spacing w:line="360" w:lineRule="auto"/>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sz w:val="28"/>
          <w:szCs w:val="28"/>
        </w:rPr>
      </w:pPr>
    </w:p>
    <w:p w:rsidR="00C85AF5" w:rsidRPr="00751669"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2.4. </w:t>
      </w:r>
      <w:r w:rsidRPr="00751669">
        <w:rPr>
          <w:rFonts w:asciiTheme="majorBidi" w:hAnsiTheme="majorBidi" w:cstheme="majorBidi"/>
          <w:b/>
          <w:bCs/>
          <w:sz w:val="28"/>
          <w:szCs w:val="28"/>
        </w:rPr>
        <w:t xml:space="preserve">Risk </w:t>
      </w:r>
      <w:r>
        <w:rPr>
          <w:rFonts w:asciiTheme="majorBidi" w:hAnsiTheme="majorBidi" w:cstheme="majorBidi"/>
          <w:b/>
          <w:bCs/>
          <w:sz w:val="28"/>
          <w:szCs w:val="28"/>
        </w:rPr>
        <w:t>f</w:t>
      </w:r>
      <w:r w:rsidRPr="00751669">
        <w:rPr>
          <w:rFonts w:asciiTheme="majorBidi" w:hAnsiTheme="majorBidi" w:cstheme="majorBidi"/>
          <w:b/>
          <w:bCs/>
          <w:sz w:val="28"/>
          <w:szCs w:val="28"/>
        </w:rPr>
        <w:t>actors</w:t>
      </w:r>
    </w:p>
    <w:p w:rsidR="00C85AF5" w:rsidRDefault="00C85AF5" w:rsidP="00C85AF5">
      <w:pPr>
        <w:spacing w:line="360" w:lineRule="auto"/>
        <w:jc w:val="both"/>
        <w:rPr>
          <w:rFonts w:asciiTheme="majorBidi" w:hAnsiTheme="majorBidi" w:cstheme="majorBidi"/>
          <w:sz w:val="28"/>
          <w:szCs w:val="28"/>
        </w:rPr>
      </w:pPr>
      <w:r w:rsidRPr="00A21A01">
        <w:rPr>
          <w:rFonts w:asciiTheme="majorBidi" w:hAnsiTheme="majorBidi" w:cstheme="majorBidi"/>
          <w:sz w:val="28"/>
          <w:szCs w:val="28"/>
        </w:rPr>
        <w:t>Osteoarthritis is a complex condition influenced by various factors, contributing to an increased likelihood of its development. Advancing age is a primary risk factor, as the cumulative wear and tear on joints over time can lead to the breakdown of cartilage. Obesity is another significant factor, as excess weight places additional stress on joints, particularly in the knees and hips, heightening the risk of osteoarthritis in these areas.</w:t>
      </w:r>
      <w:r>
        <w:rPr>
          <w:rFonts w:asciiTheme="majorBidi" w:hAnsiTheme="majorBidi" w:cstheme="majorBidi"/>
          <w:sz w:val="28"/>
          <w:szCs w:val="28"/>
        </w:rPr>
        <w:t xml:space="preserve"> </w:t>
      </w:r>
      <w:r w:rsidRPr="00A21A01">
        <w:rPr>
          <w:rFonts w:asciiTheme="majorBidi" w:hAnsiTheme="majorBidi" w:cstheme="majorBidi"/>
          <w:sz w:val="28"/>
          <w:szCs w:val="28"/>
        </w:rPr>
        <w:t xml:space="preserve">Joint injuries, whether </w:t>
      </w:r>
      <w:r w:rsidRPr="00A21A01">
        <w:rPr>
          <w:rFonts w:asciiTheme="majorBidi" w:hAnsiTheme="majorBidi" w:cstheme="majorBidi"/>
          <w:sz w:val="28"/>
          <w:szCs w:val="28"/>
        </w:rPr>
        <w:lastRenderedPageBreak/>
        <w:t>sustained through sports or accidents, also contribute to the risk, potentially leading to osteoarthritis later in life</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&lt;EndNote&gt;&lt;Cite&gt;&lt;Author&gt;Heidari&lt;/Author&gt;&lt;Year&gt;2011&lt;/Year&gt;&lt;RecNum&gt;28&lt;/RecNum&gt;&lt;DisplayText&gt;(Heidari, 2011, O&amp;apos;Neill et al., 2018)&lt;/DisplayText&gt;&lt;record&gt;&lt;rec-number&gt;28&lt;/rec-number&gt;&lt;foreign-keys&gt;&lt;key app="EN" db-id="9spzx9t20pvxenev0tipzdr82dazvrfef9fe" timestamp="1702450300"&gt;28&lt;/key&gt;&lt;/foreign-keys&gt;&lt;ref-type name="Journal Article"&gt;17&lt;/ref-type&gt;&lt;contributors&gt;&lt;authors&gt;&lt;author&gt;Heidari, Behzad&lt;/author&gt;&lt;/authors&gt;&lt;/contributors&gt;&lt;titles&gt;&lt;title&gt;Knee osteoarthritis prevalence, risk factors, pathogenesis and features: Part I&lt;/title&gt;&lt;secondary-title&gt;Caspian journal of internal medicine&lt;/secondary-title&gt;&lt;/titles&gt;&lt;periodical&gt;&lt;full-title&gt;Caspian journal of internal medicine&lt;/full-title&gt;&lt;/periodical&gt;&lt;pages&gt;205&lt;/pages&gt;&lt;volume&gt;2&lt;/volume&gt;&lt;number&gt;2&lt;/number&gt;&lt;dates&gt;&lt;year&gt;2011&lt;/year&gt;&lt;/dates&gt;&lt;urls&gt;&lt;/urls&gt;&lt;/record&gt;&lt;/Cite&gt;&lt;Cite&gt;&lt;Author&gt;O&amp;apos;Neill&lt;/Author&gt;&lt;Year&gt;2018&lt;/Year&gt;&lt;RecNum&gt;29&lt;/RecNum&gt;&lt;record&gt;&lt;rec-number&gt;29&lt;/rec-number&gt;&lt;foreign-keys&gt;&lt;key app="EN" db-id="9spzx9t20pvxenev0tipzdr82dazvrfef9fe" timestamp="1702450344"&gt;29&lt;/key&gt;&lt;/foreign-keys&gt;&lt;ref-type name="Journal Article"&gt;17&lt;/ref-type&gt;&lt;contributors&gt;&lt;authors&gt;&lt;author&gt;O&amp;apos;Neill, Terence W&lt;/author&gt;&lt;author&gt;McCabe, Paul S&lt;/author&gt;&lt;author&gt;McBeth, John&lt;/author&gt;&lt;/authors&gt;&lt;/contributors&gt;&lt;titles&gt;&lt;title&gt;Update on the epidemiology, risk factors and disease outcomes of osteoarthritis&lt;/title&gt;&lt;secondary-title&gt;Best practice &amp;amp; research Clinical rheumatology&lt;/secondary-title&gt;&lt;/titles&gt;&lt;periodical&gt;&lt;full-title&gt;Best practice &amp;amp; research Clinical rheumatology&lt;/full-title&gt;&lt;/periodical&gt;&lt;pages&gt;312-326&lt;/pages&gt;&lt;volume&gt;32&lt;/volume&gt;&lt;number&gt;2&lt;/number&gt;&lt;dates&gt;&lt;year&gt;2018&lt;/year&gt;&lt;/dates&gt;&lt;isbn&gt;1521-6942&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(Heidari, 2011, O'Neill et al., 2018)</w:t>
      </w:r>
      <w:r>
        <w:rPr>
          <w:rFonts w:asciiTheme="majorBidi" w:hAnsiTheme="majorBidi" w:cstheme="majorBidi"/>
          <w:sz w:val="28"/>
          <w:szCs w:val="28"/>
        </w:rPr>
        <w:fldChar w:fldCharType="end"/>
      </w:r>
      <w:r w:rsidRPr="00A21A01">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A21A01">
        <w:rPr>
          <w:rFonts w:asciiTheme="majorBidi" w:hAnsiTheme="majorBidi" w:cstheme="majorBidi"/>
          <w:sz w:val="28"/>
          <w:szCs w:val="28"/>
        </w:rPr>
        <w:t>Genetics play a role, with certain gene variations increasing susceptibility to the disease. Gender differences exist, with women being more prone than men to develop osteoarthritis, especially in the hands and knees.</w:t>
      </w:r>
      <w:r>
        <w:rPr>
          <w:rFonts w:asciiTheme="majorBidi" w:hAnsiTheme="majorBidi" w:cstheme="majorBidi"/>
          <w:sz w:val="28"/>
          <w:szCs w:val="28"/>
        </w:rPr>
        <w:t xml:space="preserve"> </w:t>
      </w:r>
      <w:r w:rsidRPr="00A21A01">
        <w:rPr>
          <w:rFonts w:asciiTheme="majorBidi" w:hAnsiTheme="majorBidi" w:cstheme="majorBidi"/>
          <w:sz w:val="28"/>
          <w:szCs w:val="28"/>
        </w:rPr>
        <w:t>Repetitive stress on the joints, commonly associated with certain occupations or activities involving repetitive movements like typing or playing musical instruments, can elevate the risk of osteoarthritis in the affected joints. Muscle weakness is another factor, as weakened muscles may intensify stress on the joints, raising the risk of osteoarthritis</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&lt;EndNote&gt;&lt;Cite&gt;&lt;Author&gt;Spector&lt;/Author&gt;&lt;Year&gt;2004&lt;/Year&gt;&lt;RecNum&gt;30&lt;/RecNum&gt;&lt;DisplayText&gt;(Spector and MacGregor, 2004, Yucesoy et al., 2015)&lt;/DisplayText&gt;&lt;record&gt;&lt;rec-number&gt;30&lt;/rec-number&gt;&lt;foreign-keys&gt;&lt;key app="EN" db-id="9spzx9t20pvxenev0tipzdr82dazvrfef9fe" timestamp="1702450415"&gt;30&lt;/key&gt;&lt;/foreign-keys&gt;&lt;ref-type name="Journal Article"&gt;17&lt;/ref-type&gt;&lt;contributors&gt;&lt;authors&gt;&lt;author&gt;Spector, Tim D&lt;/author&gt;&lt;author&gt;MacGregor, Alex J&lt;/author&gt;&lt;/authors&gt;&lt;/contributors&gt;&lt;titles&gt;&lt;title&gt;Risk factors for osteoarthritis: genetics&lt;/title&gt;&lt;secondary-title&gt;Osteoarthritis and cartilage&lt;/secondary-title&gt;&lt;/titles&gt;&lt;periodical&gt;&lt;full-title&gt;Osteoarthritis and cartilage&lt;/full-title&gt;&lt;/periodical&gt;&lt;pages&gt;39-44&lt;/pages&gt;&lt;volume&gt;12&lt;/volume&gt;&lt;dates&gt;&lt;year&gt;2004&lt;/year&gt;&lt;/dates&gt;&lt;isbn&gt;1063-4584&lt;/isbn&gt;&lt;urls&gt;&lt;/urls&gt;&lt;/record&gt;&lt;/Cite&gt;&lt;Cite&gt;&lt;Author&gt;Yucesoy&lt;/Author&gt;&lt;Year&gt;2015&lt;/Year&gt;&lt;RecNum&gt;31&lt;/RecNum&gt;&lt;record&gt;&lt;rec-number&gt;31&lt;/rec-number&gt;&lt;foreign-keys&gt;&lt;key app="EN" db-id="9spzx9t20pvxenev0tipzdr82dazvrfef9fe" timestamp="1702450485"&gt;31&lt;/key&gt;&lt;/foreign-keys&gt;&lt;ref-type name="Journal Article"&gt;17&lt;/ref-type&gt;&lt;contributors&gt;&lt;authors&gt;&lt;author&gt;Yucesoy, Berran&lt;/author&gt;&lt;author&gt;Charles, Luenda E&lt;/author&gt;&lt;author&gt;Baker, Brent&lt;/author&gt;&lt;author&gt;Burchfiel, Cecil M&lt;/author&gt;&lt;/authors&gt;&lt;/contributors&gt;&lt;titles&gt;&lt;title&gt;Occupational and genetic risk factors for osteoarthritis: a review&lt;/title&gt;&lt;secondary-title&gt;Work&lt;/secondary-title&gt;&lt;/titles&gt;&lt;periodical&gt;&lt;full-title&gt;Work&lt;/full-title&gt;&lt;/periodical&gt;&lt;pages&gt;261-273&lt;/pages&gt;&lt;volume&gt;50&lt;/volume&gt;&lt;number&gt;2&lt;/number&gt;&lt;dates&gt;&lt;year&gt;2015&lt;/year&gt;&lt;/dates&gt;&lt;isbn&gt;1051-9815&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(Spector and MacGregor, 2004, Yucesoy et al., 2015)</w:t>
      </w:r>
      <w:r>
        <w:rPr>
          <w:rFonts w:asciiTheme="majorBidi" w:hAnsiTheme="majorBidi" w:cstheme="majorBidi"/>
          <w:sz w:val="28"/>
          <w:szCs w:val="28"/>
        </w:rPr>
        <w:fldChar w:fldCharType="end"/>
      </w:r>
      <w:r w:rsidRPr="00A21A01">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A21A01">
        <w:rPr>
          <w:rFonts w:asciiTheme="majorBidi" w:hAnsiTheme="majorBidi" w:cstheme="majorBidi"/>
          <w:sz w:val="28"/>
          <w:szCs w:val="28"/>
        </w:rPr>
        <w:t>The presence of other medical conditions, such as rheumatoid arthritis, gout, or diabetes, can further heighten the risk of developing osteoarthritis. It's crucial to note that having one or more of these risk factors doesn't guarantee the onset of osteoarthritis. However, understanding these factors is essential, and individuals can take proactive measures to minimize their impact. Maintaining a healthy weight, avoiding repetitive stress on the joints, and engaging in joint-friendly exercises are key steps in managing and potentially reducing the risk of osteoarthritis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&lt;EndNote&gt;&lt;Cite&gt;&lt;Author&gt;Blagojevic&lt;/Author&gt;&lt;Year&gt;2010&lt;/Year&gt;&lt;RecNum&gt;32&lt;/RecNum&gt;&lt;DisplayText&gt;(Blagojevic et al., 2010, Georgiev and Angelov, 2019)&lt;/DisplayText&gt;&lt;record&gt;&lt;rec-number&gt;32&lt;/rec-number&gt;&lt;foreign-keys&gt;&lt;key app="EN" db-id="9spzx9t20pvxenev0tipzdr82dazvrfef9fe" timestamp="1702450601"&gt;32&lt;/key&gt;&lt;/foreign-keys&gt;&lt;ref-type name="Journal Article"&gt;17&lt;/ref-type&gt;&lt;contributors&gt;&lt;authors&gt;&lt;author&gt;Blagojevic, M&lt;/author&gt;&lt;author&gt;Jinks, C&lt;/author&gt;&lt;author&gt;Jeffery, A&lt;/author&gt;&lt;author&gt;Jordan, 1KP&lt;/author&gt;&lt;/authors&gt;&lt;/contributors&gt;&lt;titles&gt;&lt;title&gt;Risk factors for onset of osteoarthritis of the knee in older adults: a systematic review and meta-analysis&lt;/title&gt;&lt;secondary-title&gt;Osteoarthritis and cartilage&lt;/secondary-title&gt;&lt;/titles&gt;&lt;periodical&gt;&lt;full-title&gt;Osteoarthritis and cartilage&lt;/full-title&gt;&lt;/periodical&gt;&lt;pages&gt;24-33&lt;/pages&gt;&lt;volume&gt;18&lt;/volume&gt;&lt;number&gt;1&lt;/number&gt;&lt;dates&gt;&lt;year&gt;2010&lt;/year&gt;&lt;/dates&gt;&lt;isbn&gt;1063-4584&lt;/isbn&gt;&lt;urls&gt;&lt;/urls&gt;&lt;/record&gt;&lt;/Cite&gt;&lt;Cite&gt;&lt;Author&gt;Georgiev&lt;/Author&gt;&lt;Year&gt;2019&lt;/Year&gt;&lt;RecNum&gt;34&lt;/RecNum&gt;&lt;record&gt;&lt;rec-number&gt;34&lt;/rec-number&gt;&lt;foreign-keys&gt;&lt;key app="EN" db-id="9spzx9t20pvxenev0tipzdr82dazvrfef9fe" timestamp="1702450840"&gt;34&lt;/key&gt;&lt;/foreign-keys&gt;&lt;ref-type name="Journal Article"&gt;17&lt;/ref-type&gt;&lt;contributors&gt;&lt;authors&gt;&lt;author&gt;Georgiev, Tsvetoslav&lt;/author&gt;&lt;author&gt;Angelov, Alexander Krasimirov&lt;/author&gt;&lt;/authors&gt;&lt;/contributors&gt;&lt;titles&gt;&lt;title&gt;Modifiable risk factors in knee osteoarthritis: treatment implications&lt;/title&gt;&lt;secondary-title&gt;Rheumatology international&lt;/secondary-title&gt;&lt;/titles&gt;&lt;periodical&gt;&lt;full-title&gt;Rheumatology international&lt;/full-title&gt;&lt;/periodical&gt;&lt;pages&gt;1145-1157&lt;/pages&gt;&lt;volume&gt;39&lt;/volume&gt;&lt;number&gt;7&lt;/number&gt;&lt;dates&gt;&lt;year&gt;2019&lt;/year&gt;&lt;/dates&gt;&lt;isbn&gt;0172-8172&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(Blagojevic et al., 2010, Georgiev and Angelov, 2019)</w:t>
      </w:r>
      <w:r>
        <w:rPr>
          <w:rFonts w:asciiTheme="majorBidi" w:hAnsiTheme="majorBidi" w:cstheme="majorBidi"/>
          <w:sz w:val="28"/>
          <w:szCs w:val="28"/>
        </w:rPr>
        <w:fldChar w:fldCharType="end"/>
      </w:r>
      <w:r w:rsidRPr="00A21A01">
        <w:rPr>
          <w:rFonts w:asciiTheme="majorBidi" w:hAnsiTheme="majorBidi" w:cstheme="majorBidi"/>
          <w:sz w:val="28"/>
          <w:szCs w:val="28"/>
        </w:rPr>
        <w:t>.</w:t>
      </w:r>
    </w:p>
    <w:p w:rsidR="00C85AF5" w:rsidRPr="0085089A" w:rsidRDefault="00C85AF5" w:rsidP="00C85AF5">
      <w:pPr>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2.5. </w:t>
      </w:r>
      <w:r w:rsidRPr="00751669">
        <w:rPr>
          <w:rFonts w:asciiTheme="majorBidi" w:hAnsiTheme="majorBidi" w:cstheme="majorBidi"/>
          <w:b/>
          <w:bCs/>
          <w:sz w:val="28"/>
          <w:szCs w:val="28"/>
        </w:rPr>
        <w:t xml:space="preserve">Diagnosis of </w:t>
      </w:r>
      <w:r>
        <w:rPr>
          <w:rFonts w:asciiTheme="majorBidi" w:hAnsiTheme="majorBidi" w:cstheme="majorBidi"/>
          <w:b/>
          <w:bCs/>
          <w:sz w:val="28"/>
          <w:szCs w:val="28"/>
        </w:rPr>
        <w:t>o</w:t>
      </w:r>
      <w:r w:rsidRPr="00751669">
        <w:rPr>
          <w:rFonts w:asciiTheme="majorBidi" w:hAnsiTheme="majorBidi" w:cstheme="majorBidi"/>
          <w:b/>
          <w:bCs/>
          <w:sz w:val="28"/>
          <w:szCs w:val="28"/>
        </w:rPr>
        <w:t>steoarthritis</w:t>
      </w:r>
    </w:p>
    <w:p w:rsidR="00C85AF5" w:rsidRDefault="00C85AF5" w:rsidP="00C85AF5">
      <w:pPr>
        <w:spacing w:line="360" w:lineRule="auto"/>
        <w:jc w:val="both"/>
        <w:rPr>
          <w:rFonts w:asciiTheme="majorBidi" w:hAnsiTheme="majorBidi" w:cstheme="majorBidi"/>
          <w:sz w:val="28"/>
          <w:szCs w:val="28"/>
        </w:rPr>
      </w:pPr>
      <w:r w:rsidRPr="00B654C7">
        <w:rPr>
          <w:rFonts w:asciiTheme="majorBidi" w:hAnsiTheme="majorBidi" w:cstheme="majorBidi"/>
          <w:sz w:val="28"/>
          <w:szCs w:val="28"/>
        </w:rPr>
        <w:t>The diagnosis of osteoarthritis typically involves a comprehensive approach, combining clinical evaluation, imaging tests, and laboratory tests. Initiated by a physician, the diagnostic process begins with a thorough clinical evaluation that includes an in-depth review of the patient's medical history and a meticulous physical examination</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&lt;EndNote&gt;&lt;Cite&gt;&lt;Author&gt;Braun&lt;/Author&gt;&lt;Year&gt;2012&lt;/Year&gt;&lt;RecNum&gt;36&lt;/RecNum&gt;&lt;DisplayText&gt;(Braun and Gold, 2012)&lt;/DisplayText&gt;&lt;record&gt;&lt;rec-number&gt;36&lt;/rec-number&gt;&lt;foreign-keys&gt;&lt;key app="EN" db-id="9spzx9t20pvxenev0tipzdr82dazvrfef9fe" timestamp="1702451942"&gt;36&lt;/key&gt;&lt;/foreign-keys&gt;&lt;ref-type name="Journal Article"&gt;17&lt;/ref-type&gt;&lt;contributors&gt;&lt;authors&gt;&lt;author&gt;Braun, Hillary J&lt;/author&gt;&lt;author&gt;Gold, Garry E&lt;/author&gt;&lt;/authors&gt;&lt;/contributors&gt;&lt;titles&gt;&lt;title&gt;Diagnosis of osteoarthritis: imaging&lt;/title&gt;&lt;secondary-title&gt;Bone&lt;/secondary-title&gt;&lt;/titles&gt;&lt;periodical&gt;&lt;full-title&gt;Bone&lt;/full-title&gt;&lt;/periodical&gt;&lt;pages&gt;278-288&lt;/pages&gt;&lt;volume&gt;51&lt;/volume&gt;&lt;number&gt;2&lt;/number&gt;&lt;dates&gt;&lt;year&gt;2012&lt;/year&gt;&lt;/dates&gt;&lt;isbn&gt;8756-3282&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(Braun and Gold, 2012)</w:t>
      </w:r>
      <w:r>
        <w:rPr>
          <w:rFonts w:asciiTheme="majorBidi" w:hAnsiTheme="majorBidi" w:cstheme="majorBidi"/>
          <w:sz w:val="28"/>
          <w:szCs w:val="28"/>
        </w:rPr>
        <w:fldChar w:fldCharType="end"/>
      </w:r>
      <w:r w:rsidRPr="00B654C7">
        <w:rPr>
          <w:rFonts w:asciiTheme="majorBidi" w:hAnsiTheme="majorBidi" w:cstheme="majorBidi"/>
          <w:sz w:val="28"/>
          <w:szCs w:val="28"/>
        </w:rPr>
        <w:t xml:space="preserve">. </w:t>
      </w:r>
    </w:p>
    <w:p w:rsidR="00C85AF5" w:rsidRPr="00B654C7" w:rsidRDefault="00C85AF5" w:rsidP="00C85AF5">
      <w:pPr>
        <w:spacing w:line="360" w:lineRule="auto"/>
        <w:jc w:val="both"/>
        <w:rPr>
          <w:rFonts w:asciiTheme="majorBidi" w:hAnsiTheme="majorBidi" w:cstheme="majorBidi"/>
          <w:sz w:val="28"/>
          <w:szCs w:val="28"/>
        </w:rPr>
      </w:pPr>
      <w:r w:rsidRPr="00B654C7">
        <w:rPr>
          <w:rFonts w:asciiTheme="majorBidi" w:hAnsiTheme="majorBidi" w:cstheme="majorBidi"/>
          <w:sz w:val="28"/>
          <w:szCs w:val="28"/>
        </w:rPr>
        <w:t xml:space="preserve">Imaging tests play a pivotal role in confirming the diagnosis and determining the severity of osteoarthritis. Commonly employed imaging techniques include X-rays, magnetic resonance imaging (MRI), and computed tomography (CT) </w:t>
      </w:r>
      <w:r w:rsidRPr="00B654C7">
        <w:rPr>
          <w:rFonts w:asciiTheme="majorBidi" w:hAnsiTheme="majorBidi" w:cstheme="majorBidi"/>
          <w:sz w:val="28"/>
          <w:szCs w:val="28"/>
        </w:rPr>
        <w:lastRenderedPageBreak/>
        <w:t xml:space="preserve">scans. X-rays, often the initial choice, provide insights into joint damage and the presence of bone spurs. For more intricate views of joint structures like cartilage, ligaments, and tendons, MRI and CT scans are utilized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&lt;EndNote&gt;&lt;Cite&gt;&lt;Author&gt;Doherty&lt;/Author&gt;&lt;Year&gt;2017&lt;/Year&gt;&lt;RecNum&gt;38&lt;/RecNum&gt;&lt;DisplayText&gt;(Doherty et al., 2017)&lt;/DisplayText&gt;&lt;record&gt;&lt;rec-number&gt;38&lt;/rec-number&gt;&lt;foreign-keys&gt;&lt;key app="EN" db-id="9spzx9t20pvxenev0tipzdr82dazvrfef9fe" timestamp="1702452014"&gt;38&lt;/key&gt;&lt;/foreign-keys&gt;&lt;ref-type name="Journal Article"&gt;17&lt;/ref-type&gt;&lt;contributors&gt;&lt;authors&gt;&lt;author&gt;Doherty, Michael&lt;/author&gt;&lt;author&gt;Abhishek, Abhishek&lt;/author&gt;&lt;author&gt;Hunter, D&lt;/author&gt;&lt;/authors&gt;&lt;/contributors&gt;&lt;titles&gt;&lt;title&gt;Clinical manifestations and diagnosis of osteoarthritis&lt;/title&gt;&lt;secondary-title&gt;UpToDate [Internet]&lt;/secondary-title&gt;&lt;/titles&gt;&lt;periodical&gt;&lt;full-title&gt;UpToDate [Internet]&lt;/full-title&gt;&lt;/periodical&gt;&lt;pages&gt;1-30&lt;/pages&gt;&lt;dates&gt;&lt;year&gt;2017&lt;/year&gt;&lt;/dates&gt;&lt;urls&gt;&lt;/urls&gt;&lt;/record&gt;&lt;/Cite&gt;&lt;/EndNote&gt;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(Doherty et al., 2017)</w:t>
      </w:r>
      <w:r>
        <w:rPr>
          <w:rFonts w:asciiTheme="majorBidi" w:hAnsiTheme="majorBidi" w:cstheme="majorBidi"/>
          <w:sz w:val="28"/>
          <w:szCs w:val="28"/>
        </w:rPr>
        <w:fldChar w:fldCharType="end"/>
      </w:r>
      <w:r w:rsidRPr="00B654C7">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sz w:val="28"/>
          <w:szCs w:val="28"/>
        </w:rPr>
      </w:pPr>
    </w:p>
    <w:p w:rsidR="00C85AF5" w:rsidRPr="00B252AB"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2.6. Biomechanical alignment</w:t>
      </w:r>
    </w:p>
    <w:p w:rsidR="00C85AF5" w:rsidRPr="00751669" w:rsidRDefault="00C85AF5" w:rsidP="00C85AF5">
      <w:pPr>
        <w:spacing w:line="360" w:lineRule="auto"/>
        <w:jc w:val="both"/>
        <w:rPr>
          <w:rFonts w:asciiTheme="majorBidi" w:hAnsiTheme="majorBidi" w:cstheme="majorBidi"/>
          <w:sz w:val="28"/>
          <w:szCs w:val="28"/>
        </w:rPr>
      </w:pPr>
      <w:bookmarkStart w:id="1" w:name="_Hlk153355821"/>
      <w:r w:rsidRPr="00751669">
        <w:rPr>
          <w:rFonts w:asciiTheme="majorBidi" w:hAnsiTheme="majorBidi" w:cstheme="majorBidi"/>
          <w:sz w:val="28"/>
          <w:szCs w:val="28"/>
        </w:rPr>
        <w:t>Biomechanical alignment refers to the optimal alignment of the musculoskeletal system that promotes efficient and safe movement. It involves the correct positioning of bones, muscles, and joints in relation to each other to optimize the distribution of forces throughout the body. Proper biomechanical alignment is important for preventing injuries, reducing pain, and improving performance in various activities, such as sports, exercise, and daily tasks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&lt;EndNote&gt;&lt;Cite&gt;&lt;Author&gt;Madeti&lt;/Author&gt;&lt;Year&gt;2015&lt;/Year&gt;&lt;RecNum&gt;44&lt;/RecNum&gt;&lt;DisplayText&gt;(Madeti et al., 2015, Ro et al., 2022)&lt;/DisplayText&gt;&lt;record&gt;&lt;rec-number&gt;44&lt;/rec-number&gt;&lt;foreign-keys&gt;&lt;key app="EN" db-id="9spzx9t20pvxenev0tipzdr82dazvrfef9fe" timestamp="1702452965"&gt;44&lt;/key&gt;&lt;/foreign-keys&gt;&lt;ref-type name="Journal Article"&gt;17&lt;/ref-type&gt;&lt;contributors&gt;&lt;authors&gt;&lt;author&gt;Madeti, Bhaskar Kumar&lt;/author&gt;&lt;author&gt;Chalamalasetti, Srinivasa Rao&lt;/author&gt;&lt;author&gt;Bolla Pragada, SK Sundara siva rao&lt;/author&gt;&lt;/authors&gt;&lt;/contributors&gt;&lt;titles&gt;&lt;title&gt;Biomechanics of knee joint—A review&lt;/title&gt;&lt;secondary-title&gt;Frontiers of mechanical engineering&lt;/secondary-title&gt;&lt;/titles&gt;&lt;periodical&gt;&lt;full-title&gt;Frontiers of mechanical engineering&lt;/full-title&gt;&lt;/periodical&gt;&lt;pages&gt;176-186&lt;/pages&gt;&lt;volume&gt;10&lt;/volume&gt;&lt;dates&gt;&lt;year&gt;2015&lt;/year&gt;&lt;/dates&gt;&lt;isbn&gt;2095-0233&lt;/isbn&gt;&lt;urls&gt;&lt;/urls&gt;&lt;/record&gt;&lt;/Cite&gt;&lt;Cite&gt;&lt;Author&gt;Ro&lt;/Author&gt;&lt;Year&gt;2022&lt;/Year&gt;&lt;RecNum&gt;45&lt;/RecNum&gt;&lt;record&gt;&lt;rec-number&gt;45&lt;/rec-number&gt;&lt;foreign-keys&gt;&lt;key app="EN" db-id="9spzx9t20pvxenev0tipzdr82dazvrfef9fe" timestamp="1702453019"&gt;45&lt;/key&gt;&lt;/foreign-keys&gt;&lt;ref-type name="Journal Article"&gt;17&lt;/ref-type&gt;&lt;contributors&gt;&lt;authors&gt;&lt;author&gt;Ro, Jaehun&lt;/author&gt;&lt;author&gt;Ro, Du Hyun&lt;/author&gt;&lt;author&gt;Kang, Yeokyung&lt;/author&gt;&lt;author&gt;Han, Hyuk-Soo&lt;/author&gt;&lt;author&gt;Shin, Choongsoo S&lt;/author&gt;&lt;/authors&gt;&lt;/contributors&gt;&lt;titles&gt;&lt;title&gt;Biomechanical effect of coronal alignment and ligament laxity in total knee arthroplasty: a simulation study&lt;/title&gt;&lt;secondary-title&gt;Frontiers in Bioengineering and Biotechnology&lt;/secondary-title&gt;&lt;/titles&gt;&lt;periodical&gt;&lt;full-title&gt;Frontiers in Bioengineering and Biotechnology&lt;/full-title&gt;&lt;/periodical&gt;&lt;pages&gt;851495&lt;/pages&gt;&lt;volume&gt;10&lt;/volume&gt;&lt;dates&gt;&lt;year&gt;2022&lt;/year&gt;&lt;/dates&gt;&lt;isbn&gt;2296-4185&lt;/isbn&gt;&lt;urls&gt;&lt;/urls&gt;&lt;/record&gt;&lt;/Cite&gt;&lt;/EndNote&gt;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(Madeti et al., 2015, Ro et al., 2022)</w:t>
      </w:r>
      <w:r>
        <w:rPr>
          <w:rFonts w:asciiTheme="majorBidi" w:hAnsiTheme="majorBidi" w:cstheme="majorBidi"/>
          <w:sz w:val="28"/>
          <w:szCs w:val="28"/>
        </w:rPr>
        <w:fldChar w:fldCharType="end"/>
      </w:r>
      <w:r w:rsidRPr="00751669">
        <w:rPr>
          <w:rFonts w:asciiTheme="majorBidi" w:hAnsiTheme="majorBidi" w:cstheme="majorBidi"/>
          <w:sz w:val="28"/>
          <w:szCs w:val="28"/>
        </w:rPr>
        <w:t xml:space="preserve">. </w:t>
      </w:r>
    </w:p>
    <w:p w:rsidR="00C85AF5" w:rsidRPr="00751669"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Reference to biomechanical alignment can be found in various fields such as physical therapy, sports medicine, and orthopedics. In physical therapy, biomechanical alignment is used to evaluate and treat movement disorders, such as malalignment or imbalance, to restore proper function and prevent further injuries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&lt;EndNote&gt;&lt;Cite&gt;&lt;Author&gt;Hewett&lt;/Author&gt;&lt;Year&gt;2005&lt;/Year&gt;&lt;RecNum&gt;42&lt;/RecNum&gt;&lt;DisplayText&gt;(Hewett et al., 2005)&lt;/DisplayText&gt;&lt;record&gt;&lt;rec-number&gt;42&lt;/rec-number&gt;&lt;foreign-keys&gt;&lt;key app="EN" db-id="9spzx9t20pvxenev0tipzdr82dazvrfef9fe" timestamp="1702452782"&gt;42&lt;/key&gt;&lt;/foreign-keys&gt;&lt;ref-type name="Journal Article"&gt;17&lt;/ref-type&gt;&lt;contributors&gt;&lt;authors&gt;&lt;author&gt;Hewett, Timothy E&lt;/author&gt;&lt;author&gt;Myer, Gregory D&lt;/author&gt;&lt;author&gt;Ford, Kevin R&lt;/author&gt;&lt;author&gt;Heidt Jr, Robert S&lt;/author&gt;&lt;author&gt;Colosimo, Angelo J&lt;/author&gt;&lt;author&gt;McLean, Scott G&lt;/author&gt;&lt;author&gt;Van den Bogert, Antonie J&lt;/author&gt;&lt;author&gt;Paterno, Mark V&lt;/author&gt;&lt;author&gt;Succop, Paul&lt;/author&gt;&lt;/authors&gt;&lt;/contributors&gt;&lt;titles&gt;&lt;title&gt;Biomechanical measures of neuromuscular control and valgus loading of the knee predict anterior cruciate ligament injury risk in female athletes: a prospective study&lt;/title&gt;&lt;secondary-title&gt;The American journal of sports medicine&lt;/secondary-title&gt;&lt;/titles&gt;&lt;periodical&gt;&lt;full-title&gt;The American journal of sports medicine&lt;/full-title&gt;&lt;/periodical&gt;&lt;pages&gt;492-501&lt;/pages&gt;&lt;volume&gt;33&lt;/volume&gt;&lt;number&gt;4&lt;/number&gt;&lt;dates&gt;&lt;year&gt;2005&lt;/year&gt;&lt;/dates&gt;&lt;isbn&gt;0363-5465&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(Hewett et al., 2005)</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In sports medicine, biomechanical alignment is used to analyze and improve athletic performance by optimizing body mechanics and reducing the risk of injury. For example, a running analysis may be performed to evaluate the biomechanics of a runner's gait and identify any abnormalities that may lead to injury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&lt;EndNote&gt;&lt;Cite&gt;&lt;Author&gt;Donelon&lt;/Author&gt;&lt;Year&gt;2020&lt;/Year&gt;&lt;RecNum&gt;46&lt;/RecNum&gt;&lt;DisplayText&gt;(Donelon et al., 2020)&lt;/DisplayText&gt;&lt;record&gt;&lt;rec-number&gt;46&lt;/rec-number&gt;&lt;foreign-keys&gt;&lt;key app="EN" db-id="9spzx9t20pvxenev0tipzdr82dazvrfef9fe" timestamp="1702453152"&gt;46&lt;/key&gt;&lt;/foreign-keys&gt;&lt;ref-type name="Journal Article"&gt;17&lt;/ref-type&gt;&lt;contributors&gt;&lt;authors&gt;&lt;author&gt;Donelon, Thomas A&lt;/author&gt;&lt;author&gt;Dos’ Santos, Thomas&lt;/author&gt;&lt;author&gt;Pitchers, Guy&lt;/author&gt;&lt;author&gt;Brown, Mathew&lt;/author&gt;&lt;author&gt;Jones, Paul A&lt;/author&gt;&lt;/authors&gt;&lt;/contributors&gt;&lt;titles&gt;&lt;title&gt;Biomechanical determinants of knee joint loads associated with increased anterior cruciate ligament loading during cutting: a systematic review and technical framework&lt;/title&gt;&lt;secondary-title&gt;Sports Medicine-Open&lt;/secondary-title&gt;&lt;/titles&gt;&lt;periodical&gt;&lt;full-title&gt;Sports Medicine-Open&lt;/full-title&gt;&lt;/periodical&gt;&lt;pages&gt;1-21&lt;/pages&gt;&lt;volume&gt;6&lt;/volume&gt;&lt;dates&gt;&lt;year&gt;2020&lt;/year&gt;&lt;/dates&gt;&lt;isbn&gt;2199-1170&lt;/isbn&gt;&lt;urls&gt;&lt;/urls&gt;&lt;/record&gt;&lt;/Cite&gt;&lt;/EndNote&gt;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(Donelon et al., 2020)</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lastRenderedPageBreak/>
        <w:t>In orthopedics, biomechanical alignment is used to assess and correct deformities or malalignments of the musculoskeletal system, such as scoliosis or leg length discrepancies. Surgical interventions, such as joint replacement or osteotomy, may be used to correct the alignment and restore proper function.</w:t>
      </w:r>
    </w:p>
    <w:p w:rsidR="00C85AF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Overall, biomechanical alignment plays an essential role in maintaining the health and function of the musculoskeletal system and preventing injuries. By optimizing alignment and mechanics, individuals can improve their quality of life and performance in various activities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&lt;EndNote&gt;&lt;Cite&gt;&lt;Author&gt;Davis&lt;/Author&gt;&lt;Year&gt;2016&lt;/Year&gt;&lt;RecNum&gt;41&lt;/RecNum&gt;&lt;DisplayText&gt;(Davis et al., 2016)&lt;/DisplayText&gt;&lt;record&gt;&lt;rec-number&gt;41&lt;/rec-number&gt;&lt;foreign-keys&gt;&lt;key app="EN" db-id="9spzx9t20pvxenev0tipzdr82dazvrfef9fe" timestamp="1702452704"&gt;41&lt;/key&gt;&lt;/foreign-keys&gt;&lt;ref-type name="Journal Article"&gt;17&lt;/ref-type&gt;&lt;contributors&gt;&lt;authors&gt;&lt;author&gt;Davis, Irene S&lt;/author&gt;&lt;author&gt;Bowser, Bradley J&lt;/author&gt;&lt;author&gt;Mullineaux, David R&lt;/author&gt;&lt;/authors&gt;&lt;/contributors&gt;&lt;titles&gt;&lt;title&gt;Greater vertical impact loading in female runners with medically diagnosed injuries: a prospective investigation&lt;/title&gt;&lt;secondary-title&gt;British journal of sports medicine&lt;/secondary-title&gt;&lt;/titles&gt;&lt;periodical&gt;&lt;full-title&gt;British journal of sports medicine&lt;/full-title&gt;&lt;/periodical&gt;&lt;pages&gt;887-892&lt;/pages&gt;&lt;volume&gt;50&lt;/volume&gt;&lt;number&gt;14&lt;/number&gt;&lt;dates&gt;&lt;year&gt;2016&lt;/year&gt;&lt;/dates&gt;&lt;isbn&gt;0306-3674&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(Davis et al., 2016)</w:t>
      </w:r>
      <w:r>
        <w:rPr>
          <w:rFonts w:asciiTheme="majorBidi" w:hAnsiTheme="majorBidi" w:cstheme="majorBidi"/>
          <w:sz w:val="28"/>
          <w:szCs w:val="28"/>
        </w:rPr>
        <w:fldChar w:fldCharType="end"/>
      </w:r>
      <w:r w:rsidRPr="00751669">
        <w:rPr>
          <w:rFonts w:asciiTheme="majorBidi" w:hAnsiTheme="majorBidi" w:cstheme="majorBidi"/>
          <w:sz w:val="28"/>
          <w:szCs w:val="28"/>
        </w:rPr>
        <w:t>.</w:t>
      </w:r>
      <w:bookmarkEnd w:id="1"/>
    </w:p>
    <w:p w:rsidR="00C85AF5" w:rsidRDefault="00C85AF5" w:rsidP="00C85AF5">
      <w:pPr>
        <w:spacing w:line="360" w:lineRule="auto"/>
        <w:jc w:val="both"/>
        <w:rPr>
          <w:rFonts w:asciiTheme="majorBidi" w:hAnsiTheme="majorBidi" w:cstheme="majorBidi"/>
          <w:b/>
          <w:bCs/>
          <w:sz w:val="28"/>
          <w:szCs w:val="28"/>
        </w:rPr>
      </w:pPr>
    </w:p>
    <w:p w:rsidR="00C85AF5"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2.7. </w:t>
      </w:r>
      <w:r w:rsidRPr="00751669">
        <w:rPr>
          <w:rFonts w:asciiTheme="majorBidi" w:hAnsiTheme="majorBidi" w:cstheme="majorBidi"/>
          <w:b/>
          <w:bCs/>
          <w:sz w:val="28"/>
          <w:szCs w:val="28"/>
        </w:rPr>
        <w:t xml:space="preserve">Advantages of </w:t>
      </w:r>
      <w:r>
        <w:rPr>
          <w:rFonts w:asciiTheme="majorBidi" w:hAnsiTheme="majorBidi" w:cstheme="majorBidi"/>
          <w:b/>
          <w:bCs/>
          <w:sz w:val="28"/>
          <w:szCs w:val="28"/>
        </w:rPr>
        <w:t>b</w:t>
      </w:r>
      <w:r w:rsidRPr="00751669">
        <w:rPr>
          <w:rFonts w:asciiTheme="majorBidi" w:hAnsiTheme="majorBidi" w:cstheme="majorBidi"/>
          <w:b/>
          <w:bCs/>
          <w:sz w:val="28"/>
          <w:szCs w:val="28"/>
        </w:rPr>
        <w:t xml:space="preserve">iomechanical </w:t>
      </w:r>
      <w:r>
        <w:rPr>
          <w:rFonts w:asciiTheme="majorBidi" w:hAnsiTheme="majorBidi" w:cstheme="majorBidi"/>
          <w:b/>
          <w:bCs/>
          <w:sz w:val="28"/>
          <w:szCs w:val="28"/>
        </w:rPr>
        <w:t>a</w:t>
      </w:r>
      <w:r w:rsidRPr="00751669">
        <w:rPr>
          <w:rFonts w:asciiTheme="majorBidi" w:hAnsiTheme="majorBidi" w:cstheme="majorBidi"/>
          <w:b/>
          <w:bCs/>
          <w:sz w:val="28"/>
          <w:szCs w:val="28"/>
        </w:rPr>
        <w:t>lignment</w:t>
      </w:r>
    </w:p>
    <w:p w:rsidR="00C85AF5" w:rsidRDefault="00C85AF5" w:rsidP="00C85AF5">
      <w:pPr>
        <w:spacing w:line="360" w:lineRule="auto"/>
        <w:jc w:val="both"/>
        <w:rPr>
          <w:rFonts w:asciiTheme="majorBidi" w:hAnsiTheme="majorBidi" w:cstheme="majorBidi"/>
          <w:sz w:val="28"/>
          <w:szCs w:val="28"/>
        </w:rPr>
      </w:pPr>
      <w:r w:rsidRPr="002B21D1">
        <w:rPr>
          <w:rFonts w:asciiTheme="majorBidi" w:hAnsiTheme="majorBidi" w:cstheme="majorBidi"/>
          <w:sz w:val="28"/>
          <w:szCs w:val="28"/>
        </w:rPr>
        <w:t>Optimal biomechanical alignment of the knee joint offers a multitude of advantages. Achieving proper alignment significantly reduces joint pain, particularly beneficial for conditions like knee osteoarthritis where interventions focusing on alignment have proven effective in pain alleviation. Furthermore, biomechanical alignment interventions enhance joint functionality, as demonstrated in studies related to hip osteoarthritis, leading to increased mobility and improved performance in daily activities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&lt;EndNote&gt;&lt;Cite&gt;&lt;Author&gt;Fransen&lt;/Author&gt;&lt;Year&gt;2015&lt;/Year&gt;&lt;RecNum&gt;47&lt;/RecNum&gt;&lt;DisplayText&gt;(Fransen et al., 2015, Kang et al., 2020)&lt;/DisplayText&gt;&lt;record&gt;&lt;rec-number&gt;47&lt;/rec-number&gt;&lt;foreign-keys&gt;&lt;key app="EN" db-id="9spzx9t20pvxenev0tipzdr82dazvrfef9fe" timestamp="1702454368"&gt;47&lt;/key&gt;&lt;/foreign-keys&gt;&lt;ref-type name="Journal Article"&gt;17&lt;/ref-type&gt;&lt;contributors&gt;&lt;authors&gt;&lt;author&gt;Fransen, Marlene&lt;/author&gt;&lt;author&gt;McConnell, Sara&lt;/author&gt;&lt;author&gt;Harmer, Alison R&lt;/author&gt;&lt;author&gt;Van der Esch, Martin&lt;/author&gt;&lt;author&gt;Simic, Milena&lt;/author&gt;&lt;author&gt;Bennell, Kim L&lt;/author&gt;&lt;/authors&gt;&lt;/contributors&gt;&lt;titles&gt;&lt;title&gt;Exercise for osteoarthritis of the knee&lt;/title&gt;&lt;secondary-title&gt;Cochrane database of systematic reviews&lt;/secondary-title&gt;&lt;/titles&gt;&lt;periodical&gt;&lt;full-title&gt;Cochrane Database of Systematic Reviews&lt;/full-title&gt;&lt;/periodical&gt;&lt;number&gt;1&lt;/number&gt;&lt;dates&gt;&lt;year&gt;2015&lt;/year&gt;&lt;/dates&gt;&lt;isbn&gt;1465-1858&lt;/isbn&gt;&lt;urls&gt;&lt;/urls&gt;&lt;/record&gt;&lt;/Cite&gt;&lt;Cite&gt;&lt;Author&gt;Kang&lt;/Author&gt;&lt;Year&gt;2020&lt;/Year&gt;&lt;RecNum&gt;48&lt;/RecNum&gt;&lt;record&gt;&lt;rec-number&gt;48&lt;/rec-number&gt;&lt;foreign-keys&gt;&lt;key app="EN" db-id="9spzx9t20pvxenev0tipzdr82dazvrfef9fe" timestamp="1702454493"&gt;48&lt;/key&gt;&lt;/foreign-keys&gt;&lt;ref-type name="Journal Article"&gt;17&lt;/ref-type&gt;&lt;contributors&gt;&lt;authors&gt;&lt;author&gt;Kang, Kyoung-Tak&lt;/author&gt;&lt;author&gt;Koh, Yong-Gon&lt;/author&gt;&lt;author&gt;Nam, Ji Hoon&lt;/author&gt;&lt;author&gt;Kwon, Sae Kwang&lt;/author&gt;&lt;author&gt;Park, Kwan Kyu&lt;/author&gt;&lt;/authors&gt;&lt;/contributors&gt;&lt;titles&gt;&lt;title&gt;Kinematic alignment in cruciate retaining implants improves the biomechanical function in total knee arthroplasty during gait and deep knee bend&lt;/title&gt;&lt;secondary-title&gt;The Journal of Knee Surgery&lt;/secondary-title&gt;&lt;/titles&gt;&lt;periodical&gt;&lt;full-title&gt;The Journal of Knee Surgery&lt;/full-title&gt;&lt;/periodical&gt;&lt;pages&gt;284-293&lt;/pages&gt;&lt;volume&gt;33&lt;/volume&gt;&lt;number&gt;03&lt;/number&gt;&lt;dates&gt;&lt;year&gt;2020&lt;/year&gt;&lt;/dates&gt;&lt;isbn&gt;1538-8506&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(Fransen et al., 2015, Kang et al., 2020)</w:t>
      </w:r>
      <w:r>
        <w:rPr>
          <w:rFonts w:asciiTheme="majorBidi" w:hAnsiTheme="majorBidi" w:cstheme="majorBidi"/>
          <w:sz w:val="28"/>
          <w:szCs w:val="28"/>
        </w:rPr>
        <w:fldChar w:fldCharType="end"/>
      </w:r>
      <w:r w:rsidRPr="002B21D1">
        <w:rPr>
          <w:rFonts w:asciiTheme="majorBidi" w:hAnsiTheme="majorBidi" w:cstheme="majorBidi"/>
          <w:sz w:val="28"/>
          <w:szCs w:val="28"/>
        </w:rPr>
        <w:t>. The potential to slow the progression of osteoarthritis is another key benefit, with research indicating that individuals undergoing biomechanical interventions for knee osteoarthritis experience a reduced rate of cartilage loss, suggesting a potential slowdown in the degenerative process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&lt;EndNote&gt;&lt;Cite&gt;&lt;Author&gt;Primorac&lt;/Author&gt;&lt;Year&gt;2020&lt;/Year&gt;&lt;RecNum&gt;49&lt;/RecNum&gt;&lt;DisplayText&gt;(Primorac et al., 2020)&lt;/DisplayText&gt;&lt;record&gt;&lt;rec-number&gt;49&lt;/rec-number&gt;&lt;foreign-keys&gt;&lt;key app="EN" db-id="9spzx9t20pvxenev0tipzdr82dazvrfef9fe" timestamp="1702454701"&gt;49&lt;/key&gt;&lt;/foreign-keys&gt;&lt;ref-type name="Journal Article"&gt;17&lt;/ref-type&gt;&lt;contributors&gt;&lt;authors&gt;&lt;author&gt;Primorac, Dragan&lt;/author&gt;&lt;author&gt;Molnar, Vilim&lt;/author&gt;&lt;author&gt;Rod, Eduard&lt;/author&gt;&lt;author&gt;Jeleč, Željko&lt;/author&gt;&lt;author&gt;Čukelj, Fabijan&lt;/author&gt;&lt;author&gt;Matišić, Vid&lt;/author&gt;&lt;author&gt;Vrdoljak, Trpimir&lt;/author&gt;&lt;author&gt;Hudetz, Damir&lt;/author&gt;&lt;author&gt;Hajsok, Hana&lt;/author&gt;&lt;author&gt;Borić, Igor&lt;/author&gt;&lt;/authors&gt;&lt;/contributors&gt;&lt;titles&gt;&lt;title&gt;Knee osteoarthritis: a review of pathogenesis and state-of-the-art non-operative therapeutic considerations&lt;/title&gt;&lt;secondary-title&gt;Genes&lt;/secondary-title&gt;&lt;/titles&gt;&lt;periodical&gt;&lt;full-title&gt;Genes&lt;/full-title&gt;&lt;/periodical&gt;&lt;pages&gt;854&lt;/pages&gt;&lt;volume&gt;11&lt;/volume&gt;&lt;number&gt;8&lt;/number&gt;&lt;dates&gt;&lt;year&gt;2020&lt;/year&gt;&lt;/dates&gt;&lt;isbn&gt;2073-4425&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(Primorac et al., 2020)</w:t>
      </w:r>
      <w:r>
        <w:rPr>
          <w:rFonts w:asciiTheme="majorBidi" w:hAnsiTheme="majorBidi" w:cstheme="majorBidi"/>
          <w:sz w:val="28"/>
          <w:szCs w:val="28"/>
        </w:rPr>
        <w:fldChar w:fldCharType="end"/>
      </w:r>
      <w:r w:rsidRPr="002B21D1">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2B21D1">
        <w:rPr>
          <w:rFonts w:asciiTheme="majorBidi" w:hAnsiTheme="majorBidi" w:cstheme="majorBidi"/>
          <w:sz w:val="28"/>
          <w:szCs w:val="28"/>
        </w:rPr>
        <w:t xml:space="preserve">Moreover, correcting alignment issues plays a preventive role, mitigating further joint damage by distributing forces evenly across joint surfaces and reducing the risk of additional injuries and degeneration. Enhanced </w:t>
      </w:r>
      <w:r>
        <w:rPr>
          <w:rFonts w:asciiTheme="majorBidi" w:hAnsiTheme="majorBidi" w:cstheme="majorBidi"/>
          <w:sz w:val="28"/>
          <w:szCs w:val="28"/>
        </w:rPr>
        <w:t>joint s</w:t>
      </w:r>
      <w:r w:rsidRPr="002B21D1">
        <w:rPr>
          <w:rFonts w:asciiTheme="majorBidi" w:hAnsiTheme="majorBidi" w:cstheme="majorBidi"/>
          <w:sz w:val="28"/>
          <w:szCs w:val="28"/>
        </w:rPr>
        <w:t>tability</w:t>
      </w:r>
      <w:r>
        <w:rPr>
          <w:rFonts w:asciiTheme="majorBidi" w:hAnsiTheme="majorBidi" w:cstheme="majorBidi"/>
          <w:sz w:val="28"/>
          <w:szCs w:val="28"/>
        </w:rPr>
        <w:t>,</w:t>
      </w:r>
      <w:r w:rsidRPr="002B21D1">
        <w:rPr>
          <w:rFonts w:asciiTheme="majorBidi" w:hAnsiTheme="majorBidi" w:cstheme="majorBidi"/>
          <w:sz w:val="28"/>
          <w:szCs w:val="28"/>
        </w:rPr>
        <w:t xml:space="preserve"> </w:t>
      </w:r>
      <w:r>
        <w:rPr>
          <w:rFonts w:asciiTheme="majorBidi" w:hAnsiTheme="majorBidi" w:cstheme="majorBidi"/>
          <w:sz w:val="28"/>
          <w:szCs w:val="28"/>
        </w:rPr>
        <w:t>b</w:t>
      </w:r>
      <w:r w:rsidRPr="002B21D1">
        <w:rPr>
          <w:rFonts w:asciiTheme="majorBidi" w:hAnsiTheme="majorBidi" w:cstheme="majorBidi"/>
          <w:sz w:val="28"/>
          <w:szCs w:val="28"/>
        </w:rPr>
        <w:t xml:space="preserve">iomechanical alignment contributes to improved joint stability. Proper alignment ensures that the structures surrounding the knee joint, </w:t>
      </w:r>
      <w:r w:rsidRPr="002B21D1">
        <w:rPr>
          <w:rFonts w:asciiTheme="majorBidi" w:hAnsiTheme="majorBidi" w:cstheme="majorBidi"/>
          <w:sz w:val="28"/>
          <w:szCs w:val="28"/>
        </w:rPr>
        <w:lastRenderedPageBreak/>
        <w:t>including ligaments and tendons, function optimally, reducing the risk of instability-related issues and injuries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&lt;EndNote&gt;&lt;Cite&gt;&lt;Author&gt;Niki&lt;/Author&gt;&lt;Year&gt;2021&lt;/Year&gt;&lt;RecNum&gt;50&lt;/RecNum&gt;&lt;DisplayText&gt;(Niki, 2021)&lt;/DisplayText&gt;&lt;record&gt;&lt;rec-number&gt;50&lt;/rec-number&gt;&lt;foreign-keys&gt;&lt;key app="EN" db-id="9spzx9t20pvxenev0tipzdr82dazvrfef9fe" timestamp="1702454914"&gt;50&lt;/key&gt;&lt;/foreign-keys&gt;&lt;ref-type name="Journal Article"&gt;17&lt;/ref-type&gt;&lt;contributors&gt;&lt;authors&gt;&lt;author&gt;Niki, Yasuo&lt;/author&gt;&lt;/authors&gt;&lt;/contributors&gt;&lt;titles&gt;&lt;title&gt;Advantages of Kinematically Aligned Total Knee Arthroplasty: A Biomechanical Perspective&lt;/title&gt;&lt;secondary-title&gt;Calipered Kinematically aligned Total Knee Arthroplasty: Calipered Kinematically aligned Total Knee Arthroplasty E-Book&lt;/secondary-title&gt;&lt;/titles&gt;&lt;periodical&gt;&lt;full-title&gt;Calipered Kinematically aligned Total Knee Arthroplasty: Calipered Kinematically aligned Total Knee Arthroplasty E-Book&lt;/full-title&gt;&lt;/periodical&gt;&lt;pages&gt;69&lt;/pages&gt;&lt;dates&gt;&lt;year&gt;2021&lt;/year&gt;&lt;/dates&gt;&lt;isbn&gt;0323756271&lt;/isbn&gt;&lt;urls&gt;&lt;/urls&gt;&lt;/record&gt;&lt;/Cite&gt;&lt;/EndNote&gt;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(Niki, 2021)</w:t>
      </w:r>
      <w:r>
        <w:rPr>
          <w:rFonts w:asciiTheme="majorBidi" w:hAnsiTheme="majorBidi" w:cstheme="majorBidi"/>
          <w:sz w:val="28"/>
          <w:szCs w:val="28"/>
        </w:rPr>
        <w:fldChar w:fldCharType="end"/>
      </w:r>
      <w:r w:rsidRPr="002B21D1">
        <w:rPr>
          <w:rFonts w:asciiTheme="majorBidi" w:hAnsiTheme="majorBidi" w:cstheme="majorBidi"/>
          <w:sz w:val="28"/>
          <w:szCs w:val="28"/>
        </w:rPr>
        <w:t>.</w:t>
      </w:r>
      <w:r>
        <w:rPr>
          <w:rFonts w:asciiTheme="majorBidi" w:hAnsiTheme="majorBidi" w:cstheme="majorBidi"/>
          <w:sz w:val="28"/>
          <w:szCs w:val="28"/>
        </w:rPr>
        <w:t xml:space="preserve"> </w:t>
      </w:r>
      <w:r w:rsidRPr="002B21D1">
        <w:rPr>
          <w:rFonts w:asciiTheme="majorBidi" w:hAnsiTheme="majorBidi" w:cstheme="majorBidi"/>
          <w:sz w:val="28"/>
          <w:szCs w:val="28"/>
        </w:rPr>
        <w:t>achieving and maintaining optimal biomechanical alignment in the knee joint provides a range of advantages, from pain relief and improved functionality to the potential delay in the progression of osteoarthritis and enhanced joint stability. These benefits are particularly significant for individuals with knee-related conditions and those seeking to prevent or manage musculoskeletal issues.</w:t>
      </w:r>
    </w:p>
    <w:p w:rsidR="00C85AF5"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rPr>
          <w:rFonts w:asciiTheme="majorBidi" w:hAnsiTheme="majorBidi" w:cstheme="majorBidi"/>
          <w:b/>
          <w:bCs/>
          <w:sz w:val="28"/>
          <w:szCs w:val="28"/>
        </w:rPr>
      </w:pPr>
    </w:p>
    <w:p w:rsidR="00C85AF5" w:rsidRPr="00751669"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2.8. </w:t>
      </w:r>
      <w:r w:rsidRPr="00751669">
        <w:rPr>
          <w:rFonts w:asciiTheme="majorBidi" w:hAnsiTheme="majorBidi" w:cstheme="majorBidi"/>
          <w:b/>
          <w:bCs/>
          <w:sz w:val="28"/>
          <w:szCs w:val="28"/>
        </w:rPr>
        <w:t>Disadvantages of Biomechanical Alignment:</w:t>
      </w:r>
    </w:p>
    <w:p w:rsidR="00C85AF5" w:rsidRDefault="00C85AF5" w:rsidP="00C85AF5">
      <w:pPr>
        <w:spacing w:line="360" w:lineRule="auto"/>
        <w:jc w:val="both"/>
        <w:rPr>
          <w:rFonts w:asciiTheme="majorBidi" w:hAnsiTheme="majorBidi" w:cstheme="majorBidi"/>
          <w:sz w:val="28"/>
          <w:szCs w:val="28"/>
        </w:rPr>
      </w:pPr>
      <w:r w:rsidRPr="00304794">
        <w:rPr>
          <w:rFonts w:asciiTheme="majorBidi" w:hAnsiTheme="majorBidi" w:cstheme="majorBidi"/>
          <w:sz w:val="28"/>
          <w:szCs w:val="28"/>
        </w:rPr>
        <w:t>While optimizing biomechanical alignment in the knee joint presents numerous benefits, it also brings forth potential drawbacks that merit consideration. The complexity of addressing alignment issues may necessitate intricate interventions, such as surgery or specialized rehabilitation programs, which can be invasive, time-consuming, and involve a protracted recovery period</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&lt;EndNote&gt;&lt;Cite&gt;&lt;Author&gt;Hankemeier&lt;/Author&gt;&lt;Year&gt;2006&lt;/Year&gt;&lt;RecNum&gt;52&lt;/RecNum&gt;&lt;DisplayText&gt;(Hankemeier et al., 2006)&lt;/DisplayText&gt;&lt;record&gt;&lt;rec-number&gt;52&lt;/rec-number&gt;&lt;foreign-keys&gt;&lt;key app="EN" db-id="9spzx9t20pvxenev0tipzdr82dazvrfef9fe" timestamp="1702455711"&gt;52&lt;/key&gt;&lt;/foreign-keys&gt;&lt;ref-type name="Journal Article"&gt;17&lt;/ref-type&gt;&lt;contributors&gt;&lt;authors&gt;&lt;author&gt;Hankemeier, S&lt;/author&gt;&lt;author&gt;Hufner, T&lt;/author&gt;&lt;author&gt;Wang, G&lt;/author&gt;&lt;author&gt;Kendoff, D&lt;/author&gt;&lt;author&gt;Zeichen, J&lt;/author&gt;&lt;author&gt;Zheng, G&lt;/author&gt;&lt;author&gt;Krettek, C&lt;/author&gt;&lt;/authors&gt;&lt;/contributors&gt;&lt;titles&gt;&lt;title&gt;Navigated open-wedge high tibial osteotomy: advantages and disadvantages compared to the conventional technique in a cadaver study&lt;/title&gt;&lt;secondary-title&gt;Knee Surgery, Sports Traumatology, Arthroscopy&lt;/secondary-title&gt;&lt;/titles&gt;&lt;periodical&gt;&lt;full-title&gt;Knee Surgery, Sports Traumatology, Arthroscopy&lt;/full-title&gt;&lt;/periodical&gt;&lt;pages&gt;917-921&lt;/pages&gt;&lt;volume&gt;14&lt;/volume&gt;&lt;dates&gt;&lt;year&gt;2006&lt;/year&gt;&lt;/dates&gt;&lt;isbn&gt;0942-2056&lt;/isbn&gt;&lt;urls&gt;&lt;/urls&gt;&lt;/record&gt;&lt;/Cite&gt;&lt;/EndNote&gt;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(Hankemeier et al., 2006)</w:t>
      </w:r>
      <w:r>
        <w:rPr>
          <w:rFonts w:asciiTheme="majorBidi" w:hAnsiTheme="majorBidi" w:cstheme="majorBidi"/>
          <w:sz w:val="28"/>
          <w:szCs w:val="28"/>
        </w:rPr>
        <w:fldChar w:fldCharType="end"/>
      </w:r>
      <w:r w:rsidRPr="00304794">
        <w:rPr>
          <w:rFonts w:asciiTheme="majorBidi" w:hAnsiTheme="majorBidi" w:cstheme="majorBidi"/>
          <w:sz w:val="28"/>
          <w:szCs w:val="28"/>
        </w:rPr>
        <w:t>. Additionally, biomechanical interventions may not universally suit or prove effective for all knee conditions, and alternative treatments may be more suitable for certain issues. Financial costs, particularly associated with surgical procedures, may pose a barrier to access for some individuals, limiting their ability to pursue specific treatments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&lt;EndNote&gt;&lt;Cite&gt;&lt;Author&gt;Scherer&lt;/Author&gt;&lt;Year&gt;2019&lt;/Year&gt;&lt;RecNum&gt;53&lt;/RecNum&gt;&lt;DisplayText&gt;(Scherer et al., 2019)&lt;/DisplayText&gt;&lt;record&gt;&lt;rec-number&gt;53&lt;/rec-number&gt;&lt;foreign-keys&gt;&lt;key app="EN" db-id="9spzx9t20pvxenev0tipzdr82dazvrfef9fe" timestamp="1702455979"&gt;53&lt;/key&gt;&lt;/foreign-keys&gt;&lt;ref-type name="Journal Article"&gt;17&lt;/ref-type&gt;&lt;contributors&gt;&lt;authors&gt;&lt;author&gt;Scherer, Thomas P&lt;/author&gt;&lt;author&gt;Hoechel, Sebastian&lt;/author&gt;&lt;author&gt;Müller-Gerbl, Magdalena&lt;/author&gt;&lt;author&gt;Nowakowski, Andrej M&lt;/author&gt;&lt;/authors&gt;&lt;/contributors&gt;&lt;titles&gt;&lt;title&gt;Comparison of knee joint orientation in clinically versus biomechanically aligned computed tomography coordinate system&lt;/title&gt;&lt;secondary-title&gt;Journal of orthopaedic translation&lt;/secondary-title&gt;&lt;/titles&gt;&lt;periodical&gt;&lt;full-title&gt;Journal of orthopaedic translation&lt;/full-title&gt;&lt;/periodical&gt;&lt;pages&gt;78-84&lt;/pages&gt;&lt;volume&gt;16&lt;/volume&gt;&lt;dates&gt;&lt;year&gt;2019&lt;/year&gt;&lt;/dates&gt;&lt;isbn&gt;2214-031X&lt;/isbn&gt;&lt;urls&gt;&lt;/urls&gt;&lt;/record&gt;&lt;/Cite&gt;&lt;/EndNote&gt;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(Scherer et al., 2019)</w:t>
      </w:r>
      <w:r>
        <w:rPr>
          <w:rFonts w:asciiTheme="majorBidi" w:hAnsiTheme="majorBidi" w:cstheme="majorBidi"/>
          <w:sz w:val="28"/>
          <w:szCs w:val="28"/>
        </w:rPr>
        <w:fldChar w:fldCharType="end"/>
      </w:r>
      <w:r w:rsidRPr="00304794">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304794">
        <w:rPr>
          <w:rFonts w:asciiTheme="majorBidi" w:hAnsiTheme="majorBidi" w:cstheme="majorBidi"/>
          <w:sz w:val="28"/>
          <w:szCs w:val="28"/>
        </w:rPr>
        <w:t xml:space="preserve"> Furthermore, surgical interventions carry inherent risks of complications, such as infection or adverse reactions to anesthesia, requiring careful consideration against anticipated benefits. Despite short-term effectiveness demonstrated in some studies, there may be limited long-term evidence on sustained benefits, contingent on factors like adherence to rehabilitation programs and lifestyle changes. Individual variability in responses to biomechanical interventions </w:t>
      </w:r>
      <w:r w:rsidRPr="00304794">
        <w:rPr>
          <w:rFonts w:asciiTheme="majorBidi" w:hAnsiTheme="majorBidi" w:cstheme="majorBidi"/>
          <w:sz w:val="28"/>
          <w:szCs w:val="28"/>
        </w:rPr>
        <w:lastRenderedPageBreak/>
        <w:t>introduces a layer of uncertainty, influenced by factors like age, overall health, and adherence to post-intervention recommendations. It is crucial to recognize that these interventions may address specific aspects related to alignment, pain, or function but may not constitute a comprehensive cure for underlying conditions. Consequently, ongoing management and lifestyle modifications may remain necessary</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&lt;EndNote&gt;&lt;Cite&gt;&lt;Author&gt;Polderman&lt;/Author&gt;&lt;Year&gt;2019&lt;/Year&gt;&lt;RecNum&gt;54&lt;/RecNum&gt;&lt;DisplayText&gt;(Polderman et al., 2019)&lt;/DisplayText&gt;&lt;record&gt;&lt;rec-number&gt;54&lt;/rec-number&gt;&lt;foreign-keys&gt;&lt;key app="EN" db-id="9spzx9t20pvxenev0tipzdr82dazvrfef9fe" timestamp="1702456085"&gt;54&lt;/key&gt;&lt;/foreign-keys&gt;&lt;ref-type name="Journal Article"&gt;17&lt;/ref-type&gt;&lt;contributors&gt;&lt;authors&gt;&lt;author&gt;Polderman, JAW&lt;/author&gt;&lt;author&gt;Farhang‐Razi, V&lt;/author&gt;&lt;author&gt;Van Dieren, S&lt;/author&gt;&lt;author&gt;Kranke, P&lt;/author&gt;&lt;author&gt;DeVries, JH&lt;/author&gt;&lt;author&gt;Hollmann, MW&lt;/author&gt;&lt;author&gt;Preckel, B&lt;/author&gt;&lt;author&gt;Hermanides, J&lt;/author&gt;&lt;/authors&gt;&lt;/contributors&gt;&lt;titles&gt;&lt;title&gt;Adverse side‐effects of dexamethasone in surgical patients–an abridged Cochrane systematic review&lt;/title&gt;&lt;secondary-title&gt;Anaesthesia&lt;/secondary-title&gt;&lt;/titles&gt;&lt;periodical&gt;&lt;full-title&gt;Anaesthesia&lt;/full-title&gt;&lt;/periodical&gt;&lt;pages&gt;929-939&lt;/pages&gt;&lt;volume&gt;74&lt;/volume&gt;&lt;number&gt;7&lt;/number&gt;&lt;dates&gt;&lt;year&gt;2019&lt;/year&gt;&lt;/dates&gt;&lt;isbn&gt;0003-2409&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(Polderman et al., 2019)</w:t>
      </w:r>
      <w:r>
        <w:rPr>
          <w:rFonts w:asciiTheme="majorBidi" w:hAnsiTheme="majorBidi" w:cstheme="majorBidi"/>
          <w:sz w:val="28"/>
          <w:szCs w:val="28"/>
        </w:rPr>
        <w:fldChar w:fldCharType="end"/>
      </w:r>
      <w:r w:rsidRPr="00304794">
        <w:rPr>
          <w:rFonts w:asciiTheme="majorBidi" w:hAnsiTheme="majorBidi" w:cstheme="majorBidi"/>
          <w:sz w:val="28"/>
          <w:szCs w:val="28"/>
        </w:rPr>
        <w:t>. In conclusion, while biomechanical alignment interventions offer substantial advantages, a balanced decision should consider potential disadvantages, involving healthcare professionals in the decision-making process to align interventions with individual circumstances and preferences.</w:t>
      </w:r>
    </w:p>
    <w:p w:rsidR="00C85AF5" w:rsidRDefault="00C85AF5" w:rsidP="00C85AF5">
      <w:pPr>
        <w:spacing w:line="360" w:lineRule="auto"/>
        <w:jc w:val="both"/>
        <w:rPr>
          <w:rFonts w:asciiTheme="majorBidi" w:hAnsiTheme="majorBidi" w:cstheme="majorBidi"/>
          <w:b/>
          <w:bCs/>
          <w:sz w:val="28"/>
          <w:szCs w:val="28"/>
        </w:rPr>
      </w:pPr>
    </w:p>
    <w:p w:rsidR="00C85AF5" w:rsidRPr="00C80AC3" w:rsidRDefault="00C85AF5" w:rsidP="00C85AF5">
      <w:pPr>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2.9. </w:t>
      </w:r>
      <w:r w:rsidRPr="00A11971">
        <w:rPr>
          <w:rFonts w:asciiTheme="majorBidi" w:hAnsiTheme="majorBidi" w:cstheme="majorBidi"/>
          <w:b/>
          <w:bCs/>
          <w:sz w:val="28"/>
          <w:szCs w:val="28"/>
        </w:rPr>
        <w:t>Malalignment</w:t>
      </w:r>
    </w:p>
    <w:p w:rsidR="00C85AF5" w:rsidRDefault="00C85AF5" w:rsidP="00C85AF5">
      <w:pPr>
        <w:spacing w:line="360" w:lineRule="auto"/>
        <w:jc w:val="both"/>
        <w:rPr>
          <w:rFonts w:asciiTheme="majorBidi" w:hAnsiTheme="majorBidi" w:cstheme="majorBidi"/>
          <w:sz w:val="28"/>
          <w:szCs w:val="28"/>
        </w:rPr>
      </w:pPr>
      <w:r w:rsidRPr="00A11971">
        <w:rPr>
          <w:rFonts w:asciiTheme="majorBidi" w:hAnsiTheme="majorBidi" w:cstheme="majorBidi"/>
          <w:sz w:val="28"/>
          <w:szCs w:val="28"/>
        </w:rPr>
        <w:t>Malalignment refers to an abnormal distribution of forces and load-bearing in the musculoskeletal system. Malalignment can occur in various parts of the body, including the feet, ankles, knees, hips, and spine. Abnormal biomechanical alignment has been associated with an increased risk of developing musculoskeletal disorders such as osteoarthritis, patellofemoral pain syndrome, and stress fractures</w:t>
      </w:r>
      <w:r>
        <w:rPr>
          <w:rFonts w:asciiTheme="majorBidi" w:hAnsiTheme="majorBidi" w:cstheme="majorBidi"/>
          <w:sz w:val="28"/>
          <w:szCs w:val="28"/>
        </w:rPr>
        <w:t xml:space="preserve"> (Fig 2.2.). </w:t>
      </w:r>
      <w:r w:rsidRPr="001C70AF">
        <w:rPr>
          <w:rFonts w:asciiTheme="majorBidi" w:hAnsiTheme="majorBidi" w:cstheme="majorBidi"/>
          <w:sz w:val="28"/>
          <w:szCs w:val="28"/>
        </w:rPr>
        <w:t>Here are some examples of malalignment and their potential consequences:</w:t>
      </w:r>
    </w:p>
    <w:p w:rsidR="00C85AF5"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sz w:val="28"/>
          <w:szCs w:val="28"/>
        </w:rPr>
      </w:pPr>
    </w:p>
    <w:p w:rsidR="00C85AF5" w:rsidRPr="00A11971" w:rsidRDefault="00C85AF5" w:rsidP="00C85AF5">
      <w:pPr>
        <w:spacing w:line="360" w:lineRule="auto"/>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3993662D" wp14:editId="66C39C72">
            <wp:extent cx="5943600" cy="3618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alignment.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rsidR="00C85AF5" w:rsidRDefault="00C85AF5" w:rsidP="00C85AF5">
      <w:pPr>
        <w:spacing w:line="360" w:lineRule="auto"/>
        <w:rPr>
          <w:rFonts w:asciiTheme="majorBidi" w:hAnsiTheme="majorBidi" w:cstheme="majorBidi"/>
          <w:sz w:val="24"/>
          <w:szCs w:val="24"/>
        </w:rPr>
      </w:pPr>
      <w:r w:rsidRPr="00CF2421">
        <w:rPr>
          <w:rFonts w:asciiTheme="majorBidi" w:hAnsiTheme="majorBidi" w:cstheme="majorBidi"/>
          <w:sz w:val="24"/>
          <w:szCs w:val="24"/>
        </w:rPr>
        <w:t xml:space="preserve">     </w:t>
      </w:r>
    </w:p>
    <w:p w:rsidR="00C85AF5" w:rsidRPr="001C70AF" w:rsidRDefault="00C85AF5" w:rsidP="00C85AF5">
      <w:pPr>
        <w:spacing w:line="360" w:lineRule="auto"/>
        <w:jc w:val="center"/>
        <w:rPr>
          <w:rFonts w:asciiTheme="majorBidi" w:hAnsiTheme="majorBidi" w:cstheme="majorBidi"/>
          <w:sz w:val="28"/>
          <w:szCs w:val="28"/>
        </w:rPr>
      </w:pPr>
      <w:r w:rsidRPr="001C70AF">
        <w:rPr>
          <w:rFonts w:asciiTheme="majorBidi" w:hAnsiTheme="majorBidi" w:cstheme="majorBidi"/>
          <w:sz w:val="28"/>
          <w:szCs w:val="28"/>
        </w:rPr>
        <w:t>Fig</w:t>
      </w:r>
      <w:r>
        <w:rPr>
          <w:rFonts w:asciiTheme="majorBidi" w:hAnsiTheme="majorBidi" w:cstheme="majorBidi"/>
          <w:sz w:val="28"/>
          <w:szCs w:val="28"/>
        </w:rPr>
        <w:t xml:space="preserve"> </w:t>
      </w:r>
      <w:r w:rsidRPr="001C70AF">
        <w:rPr>
          <w:rFonts w:asciiTheme="majorBidi" w:hAnsiTheme="majorBidi" w:cstheme="majorBidi"/>
          <w:sz w:val="28"/>
          <w:szCs w:val="28"/>
        </w:rPr>
        <w:t>2</w:t>
      </w:r>
      <w:r>
        <w:rPr>
          <w:rFonts w:asciiTheme="majorBidi" w:hAnsiTheme="majorBidi" w:cstheme="majorBidi"/>
          <w:sz w:val="28"/>
          <w:szCs w:val="28"/>
        </w:rPr>
        <w:t>.2.</w:t>
      </w:r>
      <w:r w:rsidRPr="001C70AF">
        <w:rPr>
          <w:rFonts w:asciiTheme="majorBidi" w:hAnsiTheme="majorBidi" w:cstheme="majorBidi"/>
          <w:sz w:val="28"/>
          <w:szCs w:val="28"/>
        </w:rPr>
        <w:t xml:space="preserve"> </w:t>
      </w:r>
      <w:r>
        <w:rPr>
          <w:rFonts w:asciiTheme="majorBidi" w:hAnsiTheme="majorBidi" w:cstheme="majorBidi"/>
          <w:sz w:val="28"/>
          <w:szCs w:val="28"/>
        </w:rPr>
        <w:t>M</w:t>
      </w:r>
      <w:r w:rsidRPr="001C70AF">
        <w:rPr>
          <w:rFonts w:asciiTheme="majorBidi" w:hAnsiTheme="majorBidi" w:cstheme="majorBidi"/>
          <w:sz w:val="28"/>
          <w:szCs w:val="28"/>
        </w:rPr>
        <w:t>alalignment</w:t>
      </w:r>
    </w:p>
    <w:p w:rsidR="00C85AF5" w:rsidRDefault="00C85AF5" w:rsidP="00C85AF5">
      <w:pPr>
        <w:spacing w:line="360" w:lineRule="auto"/>
        <w:jc w:val="both"/>
        <w:rPr>
          <w:rFonts w:asciiTheme="majorBidi" w:hAnsiTheme="majorBidi" w:cstheme="majorBidi"/>
          <w:sz w:val="28"/>
          <w:szCs w:val="28"/>
        </w:rPr>
      </w:pPr>
      <w:r w:rsidRPr="001C70AF">
        <w:rPr>
          <w:rFonts w:asciiTheme="majorBidi" w:hAnsiTheme="majorBidi" w:cstheme="majorBidi"/>
          <w:b/>
          <w:bCs/>
          <w:sz w:val="28"/>
          <w:szCs w:val="28"/>
        </w:rPr>
        <w:t>2.9.1. Knee malalignment</w:t>
      </w:r>
    </w:p>
    <w:p w:rsidR="00C85AF5" w:rsidRDefault="00C85AF5" w:rsidP="00C85AF5">
      <w:pPr>
        <w:spacing w:line="360" w:lineRule="auto"/>
        <w:jc w:val="both"/>
        <w:rPr>
          <w:rFonts w:asciiTheme="majorBidi" w:hAnsiTheme="majorBidi" w:cstheme="majorBidi"/>
          <w:sz w:val="28"/>
          <w:szCs w:val="28"/>
        </w:rPr>
      </w:pPr>
      <w:r w:rsidRPr="001C70AF">
        <w:rPr>
          <w:rFonts w:asciiTheme="majorBidi" w:hAnsiTheme="majorBidi" w:cstheme="majorBidi"/>
          <w:sz w:val="28"/>
          <w:szCs w:val="28"/>
        </w:rPr>
        <w:t>Knee malalignment refers to an abnormal positioning or deviation from the optimal biomechanical alignment in the knee joint. This malalignment can occur in various planes, including the frontal, sagittal, or transverse planes, and may involve deviations in the positioning of bones, ligaments, and other structures within the knee. Common examples of knee malalignment include conditions like genu valgum (knock-knee) or genu varum (bowleg), where the knee joint deviates inward or outward from the normal alignment, respectively. Knee malalignment can result in uneven distribution of forces across the joint, leading to increased stress on certain structures, such as cartilage and ligaments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&lt;EndNote&gt;&lt;Cite&gt;&lt;Author&gt;Sharma&lt;/Author&gt;&lt;Year&gt;2010&lt;/Year&gt;&lt;RecNum&gt;57&lt;/RecNum&gt;&lt;DisplayText&gt;(Sharma et al., 2010)&lt;/DisplayText&gt;&lt;record&gt;&lt;rec-number&gt;57&lt;/rec-number&gt;&lt;foreign-keys&gt;&lt;key app="EN" db-id="9spzx9t20pvxenev0tipzdr82dazvrfef9fe" timestamp="1702456976"&gt;57&lt;/key&gt;&lt;/foreign-keys&gt;&lt;ref-type name="Journal Article"&gt;17&lt;/ref-type&gt;&lt;contributors&gt;&lt;authors&gt;&lt;author&gt;Sharma, Leena&lt;/author&gt;&lt;author&gt;Song, Jing&lt;/author&gt;&lt;author&gt;Dunlop, Dorothy&lt;/author&gt;&lt;author&gt;Felson, David&lt;/author&gt;&lt;author&gt;Lewis, Cora E&lt;/author&gt;&lt;author&gt;Segal, Neil&lt;/author&gt;&lt;author&gt;Torner, James&lt;/author&gt;&lt;author&gt;Cooke, T Derek V&lt;/author&gt;&lt;author&gt;Hietpas, Jean&lt;/author&gt;&lt;author&gt;Lynch, John&lt;/author&gt;&lt;/authors&gt;&lt;/contributors&gt;&lt;titles&gt;&lt;title&gt;Varus and valgus alignment and incident and progressive knee osteoarthritis&lt;/title&gt;&lt;secondary-title&gt;Annals of the rheumatic diseases&lt;/secondary-title&gt;&lt;/titles&gt;&lt;periodical&gt;&lt;full-title&gt;Annals of the rheumatic diseases&lt;/full-title&gt;&lt;/periodical&gt;&lt;pages&gt;1940-1945&lt;/pages&gt;&lt;volume&gt;69&lt;/volume&gt;&lt;number&gt;11&lt;/number&gt;&lt;dates&gt;&lt;year&gt;2010&lt;/year&gt;&lt;/dates&gt;&lt;isbn&gt;0003-4967&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(Sharma et al., 2010)</w:t>
      </w:r>
      <w:r>
        <w:rPr>
          <w:rFonts w:asciiTheme="majorBidi" w:hAnsiTheme="majorBidi" w:cstheme="majorBidi"/>
          <w:sz w:val="28"/>
          <w:szCs w:val="28"/>
        </w:rPr>
        <w:fldChar w:fldCharType="end"/>
      </w:r>
      <w:r w:rsidRPr="001C70AF">
        <w:rPr>
          <w:rFonts w:asciiTheme="majorBidi" w:hAnsiTheme="majorBidi" w:cstheme="majorBidi"/>
          <w:sz w:val="28"/>
          <w:szCs w:val="28"/>
        </w:rPr>
        <w:t xml:space="preserve">. This condition is associated with an increased risk of musculoskeletal problems, including osteoarthritis, and may contribute to pain, instability, and functional limitations. Management of knee malalignment often involves a combination of therapeutic interventions, such as physical therapy, </w:t>
      </w:r>
      <w:r w:rsidRPr="001C70AF">
        <w:rPr>
          <w:rFonts w:asciiTheme="majorBidi" w:hAnsiTheme="majorBidi" w:cstheme="majorBidi"/>
          <w:sz w:val="28"/>
          <w:szCs w:val="28"/>
        </w:rPr>
        <w:lastRenderedPageBreak/>
        <w:t>braces, or in severe cases, surgical procedures, aimed at restoring proper alignment and minimizing associated symptoms and complications. Regular monitoring and appropriate intervention are crucial for individuals with knee malalignment to prevent long-term complications and maintain optimal joint health</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&lt;EndNote&gt;&lt;Cite&gt;&lt;Author&gt;van der Heijden&lt;/Author&gt;&lt;Year&gt;2015&lt;/Year&gt;&lt;RecNum&gt;58&lt;/RecNum&gt;&lt;DisplayText&gt;(van der Heijden et al., 2015)&lt;/DisplayText&gt;&lt;record&gt;&lt;rec-number&gt;58&lt;/rec-number&gt;&lt;foreign-keys&gt;&lt;key app="EN" db-id="9spzx9t20pvxenev0tipzdr82dazvrfef9fe" timestamp="1702457042"&gt;58&lt;/key&gt;&lt;/foreign-keys&gt;&lt;ref-type name="Journal Article"&gt;17&lt;/ref-type&gt;&lt;contributors&gt;&lt;authors&gt;&lt;author&gt;van der Heijden, Rianne A&lt;/author&gt;&lt;author&gt;Lankhorst, Nienke E&lt;/author&gt;&lt;author&gt;van Linschoten, Robbart&lt;/author&gt;&lt;author&gt;Bierma‐Zeinstra, Sita MA&lt;/author&gt;&lt;author&gt;van Middelkoop, Marienke&lt;/author&gt;&lt;/authors&gt;&lt;/contributors&gt;&lt;titles&gt;&lt;title&gt;Exercise for treating patellofemoral pain syndrome&lt;/title&gt;&lt;secondary-title&gt;Cochrane Database of Systematic Reviews&lt;/secondary-title&gt;&lt;/titles&gt;&lt;periodical&gt;&lt;full-title&gt;Cochrane Database of Systematic Reviews&lt;/full-title&gt;&lt;/periodical&gt;&lt;number&gt;1&lt;/number&gt;&lt;dates&gt;&lt;year&gt;2015&lt;/year&gt;&lt;/dates&gt;&lt;isbn&gt;1465-1858&lt;/isbn&gt;&lt;urls&gt;&lt;/urls&gt;&lt;/record&gt;&lt;/Cite&gt;&lt;/EndNote&gt;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(van der Heijden et al., 2015)</w:t>
      </w:r>
      <w:r>
        <w:rPr>
          <w:rFonts w:asciiTheme="majorBidi" w:hAnsiTheme="majorBidi" w:cstheme="majorBidi"/>
          <w:sz w:val="28"/>
          <w:szCs w:val="28"/>
        </w:rPr>
        <w:fldChar w:fldCharType="end"/>
      </w:r>
      <w:r w:rsidRPr="001C70AF">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p>
    <w:p w:rsidR="00C85AF5" w:rsidRDefault="00C85AF5" w:rsidP="00C85AF5">
      <w:pPr>
        <w:spacing w:line="360" w:lineRule="auto"/>
        <w:jc w:val="both"/>
        <w:rPr>
          <w:rFonts w:asciiTheme="majorBidi" w:hAnsiTheme="majorBidi" w:cstheme="majorBidi"/>
          <w:b/>
          <w:bCs/>
          <w:sz w:val="28"/>
          <w:szCs w:val="28"/>
        </w:rPr>
      </w:pPr>
      <w:r w:rsidRPr="00CD17BA">
        <w:rPr>
          <w:rFonts w:asciiTheme="majorBidi" w:hAnsiTheme="majorBidi" w:cstheme="majorBidi"/>
          <w:b/>
          <w:bCs/>
          <w:sz w:val="28"/>
          <w:szCs w:val="28"/>
        </w:rPr>
        <w:t>2.9.2. Hip malalignment</w:t>
      </w:r>
    </w:p>
    <w:p w:rsidR="00C85AF5" w:rsidRDefault="00C85AF5" w:rsidP="00C85AF5">
      <w:pPr>
        <w:spacing w:line="360" w:lineRule="auto"/>
        <w:jc w:val="both"/>
        <w:rPr>
          <w:rFonts w:asciiTheme="majorBidi" w:hAnsiTheme="majorBidi" w:cstheme="majorBidi"/>
          <w:sz w:val="28"/>
          <w:szCs w:val="28"/>
        </w:rPr>
      </w:pPr>
      <w:r w:rsidRPr="00CD17BA">
        <w:rPr>
          <w:rFonts w:asciiTheme="majorBidi" w:hAnsiTheme="majorBidi" w:cstheme="majorBidi"/>
          <w:sz w:val="28"/>
          <w:szCs w:val="28"/>
        </w:rPr>
        <w:t>Hip malalignment refers to an abnormal positioning or deviation from the optimal biomechanical alignment in the hip joint. This m</w:t>
      </w:r>
      <w:r>
        <w:rPr>
          <w:rFonts w:asciiTheme="majorBidi" w:hAnsiTheme="majorBidi" w:cstheme="majorBidi"/>
          <w:sz w:val="28"/>
          <w:szCs w:val="28"/>
        </w:rPr>
        <w:t>al</w:t>
      </w:r>
      <w:r w:rsidRPr="00CD17BA">
        <w:rPr>
          <w:rFonts w:asciiTheme="majorBidi" w:hAnsiTheme="majorBidi" w:cstheme="majorBidi"/>
          <w:sz w:val="28"/>
          <w:szCs w:val="28"/>
        </w:rPr>
        <w:t>alignment can manifest in various ways, involving deviations in the positioning of the femoral head, acetabulum, and other structures within the hip</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&lt;EndNote&gt;&lt;Cite&gt;&lt;Author&gt;Ganz&lt;/Author&gt;&lt;Year&gt;2003&lt;/Year&gt;&lt;RecNum&gt;60&lt;/RecNum&gt;&lt;DisplayText&gt;(Ganz et al., 2003)&lt;/DisplayText&gt;&lt;record&gt;&lt;rec-number&gt;60&lt;/rec-number&gt;&lt;foreign-keys&gt;&lt;key app="EN" db-id="9spzx9t20pvxenev0tipzdr82dazvrfef9fe" timestamp="1702457451"&gt;60&lt;/key&gt;&lt;/foreign-keys&gt;&lt;ref-type name="Journal Article"&gt;17&lt;/ref-type&gt;&lt;contributors&gt;&lt;authors&gt;&lt;author&gt;Ganz, Reinhold&lt;/author&gt;&lt;author&gt;Parvizi, Javad&lt;/author&gt;&lt;author&gt;Beck, Martin&lt;/author&gt;&lt;author&gt;Leunig, Michael&lt;/author&gt;&lt;author&gt;Nötzli, Hubert&lt;/author&gt;&lt;author&gt;Siebenrock, Klaus A&lt;/author&gt;&lt;/authors&gt;&lt;/contributors&gt;&lt;titles&gt;&lt;title&gt;Femoroacetabular impingement: a cause for osteoarthritis of the hip&lt;/title&gt;&lt;secondary-title&gt;Clinical Orthopaedics and Related Research®&lt;/secondary-title&gt;&lt;/titles&gt;&lt;periodical&gt;&lt;full-title&gt;Clinical Orthopaedics and Related Research®&lt;/full-title&gt;&lt;/periodical&gt;&lt;pages&gt;112-120&lt;/pages&gt;&lt;volume&gt;417&lt;/volume&gt;&lt;dates&gt;&lt;year&gt;2003&lt;/year&gt;&lt;/dates&gt;&lt;isbn&gt;0009-921X&lt;/isbn&gt;&lt;urls&gt;&lt;/urls&gt;&lt;/record&gt;&lt;/Cite&gt;&lt;/EndNote&gt;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(Ganz et al., 2003)</w:t>
      </w:r>
      <w:r>
        <w:rPr>
          <w:rFonts w:asciiTheme="majorBidi" w:hAnsiTheme="majorBidi" w:cstheme="majorBidi"/>
          <w:sz w:val="28"/>
          <w:szCs w:val="28"/>
        </w:rPr>
        <w:fldChar w:fldCharType="end"/>
      </w:r>
      <w:r w:rsidRPr="00CD17BA">
        <w:rPr>
          <w:rFonts w:asciiTheme="majorBidi" w:hAnsiTheme="majorBidi" w:cstheme="majorBidi"/>
          <w:sz w:val="28"/>
          <w:szCs w:val="28"/>
        </w:rPr>
        <w:t>. Common examples include femoroacetabular impingement (</w:t>
      </w:r>
      <w:r w:rsidRPr="0037280F">
        <w:rPr>
          <w:rFonts w:asciiTheme="majorBidi" w:hAnsiTheme="majorBidi" w:cstheme="majorBidi"/>
          <w:sz w:val="28"/>
          <w:szCs w:val="28"/>
        </w:rPr>
        <w:t>FAI</w:t>
      </w:r>
      <w:r w:rsidRPr="00CD17BA">
        <w:rPr>
          <w:rFonts w:asciiTheme="majorBidi" w:hAnsiTheme="majorBidi" w:cstheme="majorBidi"/>
          <w:sz w:val="28"/>
          <w:szCs w:val="28"/>
        </w:rPr>
        <w:t>), where there is abnormal contact between the hip's ball and socket, or hip dysplasia, characterized by a shallow hip socket. Hip malalignment can lead to increased stress on the joint, affecting the distribution of forces and potentially causing wear and tear on the cartilage and other structures. This condition is associated with an elevated risk of musculoskeletal issues, including osteoarthritis, pain, and limited range of motion</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&lt;EndNote&gt;&lt;Cite&gt;&lt;Author&gt;Lerch&lt;/Author&gt;&lt;Year&gt;2020&lt;/Year&gt;&lt;RecNum&gt;61&lt;/RecNum&gt;&lt;DisplayText&gt;(Lerch et al., 2020)&lt;/DisplayText&gt;&lt;record&gt;&lt;rec-number&gt;61&lt;/rec-number&gt;&lt;foreign-keys&gt;&lt;key app="EN" db-id="9spzx9t20pvxenev0tipzdr82dazvrfef9fe" timestamp="1702457532"&gt;61&lt;/key&gt;&lt;/foreign-keys&gt;&lt;ref-type name="Journal Article"&gt;17&lt;/ref-type&gt;&lt;contributors&gt;&lt;authors&gt;&lt;author&gt;Lerch, Till D&lt;/author&gt;&lt;author&gt;Liechti, Emanuel F&lt;/author&gt;&lt;author&gt;Todorski, Inga AS&lt;/author&gt;&lt;author&gt;Schmaranzer, Florian&lt;/author&gt;&lt;author&gt;Steppacher, Simon D&lt;/author&gt;&lt;author&gt;Siebenrock, Klaus A&lt;/author&gt;&lt;author&gt;Tannast, Moritz&lt;/author&gt;&lt;author&gt;Klenke, Frank M&lt;/author&gt;&lt;/authors&gt;&lt;/contributors&gt;&lt;titles&gt;&lt;title&gt;Prevalence of combined abnormalities of tibial and femoral torsion in patients with symptomatic hip dysplasia and femoroacetabular impingement: implications for femoral derotation osteotomy&lt;/title&gt;&lt;secondary-title&gt;The bone &amp;amp; joint journal&lt;/secondary-title&gt;&lt;/titles&gt;&lt;periodical&gt;&lt;full-title&gt;The bone &amp;amp; joint journal&lt;/full-title&gt;&lt;/periodical&gt;&lt;pages&gt;1636-1645&lt;/pages&gt;&lt;volume&gt;102&lt;/volume&gt;&lt;number&gt;12&lt;/number&gt;&lt;dates&gt;&lt;year&gt;2020&lt;/year&gt;&lt;/dates&gt;&lt;isbn&gt;2049-4408&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(Lerch et al., 2020)</w:t>
      </w:r>
      <w:r>
        <w:rPr>
          <w:rFonts w:asciiTheme="majorBidi" w:hAnsiTheme="majorBidi" w:cstheme="majorBidi"/>
          <w:sz w:val="28"/>
          <w:szCs w:val="28"/>
        </w:rPr>
        <w:fldChar w:fldCharType="end"/>
      </w:r>
      <w:r w:rsidRPr="00CD17BA">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2E0B17">
        <w:rPr>
          <w:rFonts w:asciiTheme="majorBidi" w:hAnsiTheme="majorBidi" w:cstheme="majorBidi"/>
          <w:sz w:val="28"/>
          <w:szCs w:val="28"/>
        </w:rPr>
        <w:t>Management of hip malalignment often involves a comprehensive approach. Conservative measures may include physical therapy to improve muscle strength and joint stability, lifestyle modifications, and the use of assistive devices. In some cases, surgical interventions such as hip arthroscopy or joint reconstruction may be considered to correct the malalignment and address associated problems. The goal of treatment is to alleviate symptoms, improve joint function, and prevent further complications. Regular monitoring and appropriate intervention are essential for individuals with hip malalignment to optimize their hip health and overall well-being</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&lt;EndNote&gt;&lt;Cite&gt;&lt;Author&gt;Vaquero-Picado&lt;/Author&gt;&lt;Year&gt;2019&lt;/Year&gt;&lt;RecNum&gt;62&lt;/RecNum&gt;&lt;DisplayText&gt;(Vaquero-Picado et al., 2019)&lt;/DisplayText&gt;&lt;record&gt;&lt;rec-number&gt;62&lt;/rec-number&gt;&lt;foreign-keys&gt;&lt;key app="EN" db-id="9spzx9t20pvxenev0tipzdr82dazvrfef9fe" timestamp="1702457913"&gt;62&lt;/key&gt;&lt;/foreign-keys&gt;&lt;ref-type name="Journal Article"&gt;17&lt;/ref-type&gt;&lt;contributors&gt;&lt;authors&gt;&lt;author&gt;Vaquero-Picado, Alfonso&lt;/author&gt;&lt;author&gt;González-Morán, Gaspar&lt;/author&gt;&lt;author&gt;Garay, Enrique Gil&lt;/author&gt;&lt;author&gt;Moraleda, Luis&lt;/author&gt;&lt;/authors&gt;&lt;/contributors&gt;&lt;titles&gt;&lt;title&gt;Developmental dysplasia of the hip: update of management&lt;/title&gt;&lt;secondary-title&gt;EFORT open reviews&lt;/secondary-title&gt;&lt;/titles&gt;&lt;periodical&gt;&lt;full-title&gt;EFORT open reviews&lt;/full-title&gt;&lt;/periodical&gt;&lt;pages&gt;548-556&lt;/pages&gt;&lt;volume&gt;4&lt;/volume&gt;&lt;number&gt;9&lt;/number&gt;&lt;dates&gt;&lt;year&gt;2019&lt;/year&gt;&lt;/dates&gt;&lt;isbn&gt;2058-5241&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(Vaquero-Picado et al., 2019)</w:t>
      </w:r>
      <w:r>
        <w:rPr>
          <w:rFonts w:asciiTheme="majorBidi" w:hAnsiTheme="majorBidi" w:cstheme="majorBidi"/>
          <w:sz w:val="28"/>
          <w:szCs w:val="28"/>
        </w:rPr>
        <w:fldChar w:fldCharType="end"/>
      </w:r>
      <w:r w:rsidRPr="002E0B17">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p>
    <w:p w:rsidR="00C85AF5" w:rsidRPr="002E0B17" w:rsidRDefault="00C85AF5" w:rsidP="00C85AF5">
      <w:pPr>
        <w:pStyle w:val="ListParagraph"/>
        <w:numPr>
          <w:ilvl w:val="2"/>
          <w:numId w:val="4"/>
        </w:numPr>
        <w:spacing w:line="360" w:lineRule="auto"/>
        <w:jc w:val="both"/>
        <w:rPr>
          <w:rFonts w:asciiTheme="majorBidi" w:hAnsiTheme="majorBidi" w:cstheme="majorBidi"/>
          <w:b/>
          <w:bCs/>
          <w:sz w:val="28"/>
          <w:szCs w:val="28"/>
        </w:rPr>
      </w:pPr>
      <w:r w:rsidRPr="002E0B17">
        <w:rPr>
          <w:rFonts w:asciiTheme="majorBidi" w:hAnsiTheme="majorBidi" w:cstheme="majorBidi"/>
          <w:b/>
          <w:bCs/>
          <w:sz w:val="28"/>
          <w:szCs w:val="28"/>
        </w:rPr>
        <w:t>Foot malalignment</w:t>
      </w:r>
    </w:p>
    <w:p w:rsidR="00C85AF5" w:rsidRPr="002E0B17" w:rsidRDefault="00C85AF5" w:rsidP="00C85AF5">
      <w:pPr>
        <w:spacing w:line="360" w:lineRule="auto"/>
        <w:jc w:val="both"/>
        <w:rPr>
          <w:rFonts w:asciiTheme="majorBidi" w:hAnsiTheme="majorBidi" w:cstheme="majorBidi"/>
          <w:sz w:val="28"/>
          <w:szCs w:val="28"/>
        </w:rPr>
      </w:pPr>
      <w:r w:rsidRPr="002E0B17">
        <w:rPr>
          <w:rFonts w:asciiTheme="majorBidi" w:hAnsiTheme="majorBidi" w:cstheme="majorBidi"/>
          <w:sz w:val="28"/>
          <w:szCs w:val="28"/>
        </w:rPr>
        <w:t>Foot malalignment refers to an abnormal positioning or deviation from the optimal biomechanical alignment in the feet. This condition can manifest in various ways, affecting the positioning of the bones, joints, and soft tissues in the foot. Common examples of foot malalignment include pes planus (flat feet), where the arch of the foot collapses, or pes cavus (high arches), where the arch is excessively raised. Other conditions, such as bunions or hammertoes, can also contribute to foot malalignment</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&lt;EndNote&gt;&lt;Cite&gt;&lt;Author&gt;Krause&lt;/Author&gt;&lt;Year&gt;2018&lt;/Year&gt;&lt;RecNum&gt;63&lt;/RecNum&gt;&lt;DisplayText&gt;(Krause and Seidel, 2018, Myerson and Li, 2022)&lt;/DisplayText&gt;&lt;record&gt;&lt;rec-number&gt;63&lt;/rec-number&gt;&lt;foreign-keys&gt;&lt;key app="EN" db-id="9spzx9t20pvxenev0tipzdr82dazvrfef9fe" timestamp="1702458045"&gt;63&lt;/key&gt;&lt;/foreign-keys&gt;&lt;ref-type name="Journal Article"&gt;17&lt;/ref-type&gt;&lt;contributors&gt;&lt;authors&gt;&lt;author&gt;Krause, Fabian&lt;/author&gt;&lt;author&gt;Seidel, Angela&lt;/author&gt;&lt;/authors&gt;&lt;/contributors&gt;&lt;titles&gt;&lt;title&gt;Malalignment and lateral ankle instability: causes of failure from the varus tibia to the cavovarus foot&lt;/title&gt;&lt;secondary-title&gt;Foot and ankle clinics&lt;/secondary-title&gt;&lt;/titles&gt;&lt;periodical&gt;&lt;full-title&gt;Foot and ankle clinics&lt;/full-title&gt;&lt;/periodical&gt;&lt;pages&gt;593-603&lt;/pages&gt;&lt;volume&gt;23&lt;/volume&gt;&lt;number&gt;4&lt;/number&gt;&lt;dates&gt;&lt;year&gt;2018&lt;/year&gt;&lt;/dates&gt;&lt;isbn&gt;1083-7515&lt;/isbn&gt;&lt;urls&gt;&lt;/urls&gt;&lt;/record&gt;&lt;/Cite&gt;&lt;Cite&gt;&lt;Author&gt;Myerson&lt;/Author&gt;&lt;Year&gt;2022&lt;/Year&gt;&lt;RecNum&gt;64&lt;/RecNum&gt;&lt;record&gt;&lt;rec-number&gt;64&lt;/rec-number&gt;&lt;foreign-keys&gt;&lt;key app="EN" db-id="9spzx9t20pvxenev0tipzdr82dazvrfef9fe" timestamp="1702458118"&gt;64&lt;/key&gt;&lt;/foreign-keys&gt;&lt;ref-type name="Journal Article"&gt;17&lt;/ref-type&gt;&lt;contributors&gt;&lt;authors&gt;&lt;author&gt;Myerson, Mark S&lt;/author&gt;&lt;author&gt;Li, Shuyuan&lt;/author&gt;&lt;/authors&gt;&lt;/contributors&gt;&lt;titles&gt;&lt;title&gt;Cavus foot&lt;/title&gt;&lt;secondary-title&gt;Foot and Ankle Disorders: A Comprehensive Approach in Pediatric and Adult Populations&lt;/secondary-title&gt;&lt;/titles&gt;&lt;periodical&gt;&lt;full-title&gt;Foot and Ankle Disorders: A Comprehensive Approach in Pediatric and Adult Populations&lt;/full-title&gt;&lt;/periodical&gt;&lt;pages&gt;567-591&lt;/pages&gt;&lt;dates&gt;&lt;year&gt;2022&lt;/year&gt;&lt;/dates&gt;&lt;urls&gt;&lt;/urls&gt;&lt;/record&gt;&lt;/Cite&gt;&lt;/EndNote&gt;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(Krause and Seidel, 2018, Myerson and Li, 2022)</w:t>
      </w:r>
      <w:r>
        <w:rPr>
          <w:rFonts w:asciiTheme="majorBidi" w:hAnsiTheme="majorBidi" w:cstheme="majorBidi"/>
          <w:sz w:val="28"/>
          <w:szCs w:val="28"/>
        </w:rPr>
        <w:fldChar w:fldCharType="end"/>
      </w:r>
      <w:r w:rsidRPr="002E0B17">
        <w:rPr>
          <w:rFonts w:asciiTheme="majorBidi" w:hAnsiTheme="majorBidi" w:cstheme="majorBidi"/>
          <w:sz w:val="28"/>
          <w:szCs w:val="28"/>
        </w:rPr>
        <w:t>.</w:t>
      </w:r>
      <w:r>
        <w:rPr>
          <w:rFonts w:asciiTheme="majorBidi" w:hAnsiTheme="majorBidi" w:cstheme="majorBidi"/>
          <w:sz w:val="28"/>
          <w:szCs w:val="28"/>
        </w:rPr>
        <w:t xml:space="preserve"> </w:t>
      </w:r>
      <w:r w:rsidRPr="002E0B17">
        <w:rPr>
          <w:rFonts w:asciiTheme="majorBidi" w:hAnsiTheme="majorBidi" w:cstheme="majorBidi"/>
          <w:sz w:val="28"/>
          <w:szCs w:val="28"/>
        </w:rPr>
        <w:t>Foot malalignment can lead to improper weight distribution, affecting the alignment of the lower limbs and potentially causing issues such as pain, instability, and altered gait. It may contribute to various musculoskeletal problems, including plantar fasciitis, shin splints, and knee or hip pain</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&lt;EndNote&gt;&lt;Cite&gt;&lt;Author&gt;Simic&lt;/Author&gt;&lt;Year&gt;2013&lt;/Year&gt;&lt;RecNum&gt;65&lt;/RecNum&gt;&lt;DisplayText&gt;(Simic et al., 2013)&lt;/DisplayText&gt;&lt;record&gt;&lt;rec-number&gt;65&lt;/rec-number&gt;&lt;foreign-keys&gt;&lt;key app="EN" db-id="9spzx9t20pvxenev0tipzdr82dazvrfef9fe" timestamp="1702458201"&gt;65&lt;/key&gt;&lt;/foreign-keys&gt;&lt;ref-type name="Journal Article"&gt;17&lt;/ref-type&gt;&lt;contributors&gt;&lt;authors&gt;&lt;author&gt;Simic, M&lt;/author&gt;&lt;author&gt;Wrigley, TV&lt;/author&gt;&lt;author&gt;Hinman, RS&lt;/author&gt;&lt;author&gt;Hunt, MA&lt;/author&gt;&lt;author&gt;Bennell, KL&lt;/author&gt;&lt;/authors&gt;&lt;/contributors&gt;&lt;titles&gt;&lt;title&gt;Altering foot progression angle in people with medial knee osteoarthritis: the effects of varying toe-in and toe-out angles are mediated by pain and malalignment&lt;/title&gt;&lt;secondary-title&gt;Osteoarthritis and cartilage&lt;/secondary-title&gt;&lt;/titles&gt;&lt;periodical&gt;&lt;full-title&gt;Osteoarthritis and cartilage&lt;/full-title&gt;&lt;/periodical&gt;&lt;pages&gt;1272-1280&lt;/pages&gt;&lt;volume&gt;21&lt;/volume&gt;&lt;number&gt;9&lt;/number&gt;&lt;dates&gt;&lt;year&gt;2013&lt;/year&gt;&lt;/dates&gt;&lt;isbn&gt;1063-4584&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(Simic et al., 2013)</w:t>
      </w:r>
      <w:r>
        <w:rPr>
          <w:rFonts w:asciiTheme="majorBidi" w:hAnsiTheme="majorBidi" w:cstheme="majorBidi"/>
          <w:sz w:val="28"/>
          <w:szCs w:val="28"/>
        </w:rPr>
        <w:fldChar w:fldCharType="end"/>
      </w:r>
      <w:r w:rsidRPr="002E0B17">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2E0B17">
        <w:rPr>
          <w:rFonts w:asciiTheme="majorBidi" w:hAnsiTheme="majorBidi" w:cstheme="majorBidi"/>
          <w:sz w:val="28"/>
          <w:szCs w:val="28"/>
        </w:rPr>
        <w:t>Management of foot malalignment often involves a multifaceted approach. Conservative measures may include the use of orthotic devices or supportive footwear to help correct the alignment and provide stability. Physical therapy exercises may be recommended to strengthen muscles and improve foot function. In some cases, surgical interventions may be considered to address severe malalignments or correct deformities</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&lt;EndNote&gt;&lt;Cite&gt;&lt;Author&gt;Deben&lt;/Author&gt;&lt;Year&gt;2014&lt;/Year&gt;&lt;RecNum&gt;66&lt;/RecNum&gt;&lt;DisplayText&gt;(Deben and Pomeroy, 2014)&lt;/DisplayText&gt;&lt;record&gt;&lt;rec-number&gt;66&lt;/rec-number&gt;&lt;foreign-keys&gt;&lt;key app="EN" db-id="9spzx9t20pvxenev0tipzdr82dazvrfef9fe" timestamp="1702458250"&gt;66&lt;/key&gt;&lt;/foreign-keys&gt;&lt;ref-type name="Journal Article"&gt;17&lt;/ref-type&gt;&lt;contributors&gt;&lt;authors&gt;&lt;author&gt;Deben, Sophia E&lt;/author&gt;&lt;author&gt;Pomeroy, Gregory C&lt;/author&gt;&lt;/authors&gt;&lt;/contributors&gt;&lt;titles&gt;&lt;title&gt;Subtle cavus foot: diagnosis and management&lt;/title&gt;&lt;secondary-title&gt;JAAOS-Journal of the American Academy of Orthopaedic Surgeons&lt;/secondary-title&gt;&lt;/titles&gt;&lt;periodical&gt;&lt;full-title&gt;JAAOS-Journal of the American Academy of Orthopaedic Surgeons&lt;/full-title&gt;&lt;/periodical&gt;&lt;pages&gt;512-520&lt;/pages&gt;&lt;volume&gt;22&lt;/volume&gt;&lt;number&gt;8&lt;/number&gt;&lt;dates&gt;&lt;year&gt;2014&lt;/year&gt;&lt;/dates&gt;&lt;isbn&gt;1067-151X&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(Deben and Pomeroy, 2014)</w:t>
      </w:r>
      <w:r>
        <w:rPr>
          <w:rFonts w:asciiTheme="majorBidi" w:hAnsiTheme="majorBidi" w:cstheme="majorBidi"/>
          <w:sz w:val="28"/>
          <w:szCs w:val="28"/>
        </w:rPr>
        <w:fldChar w:fldCharType="end"/>
      </w:r>
      <w:r w:rsidRPr="002E0B17">
        <w:rPr>
          <w:rFonts w:asciiTheme="majorBidi" w:hAnsiTheme="majorBidi" w:cstheme="majorBidi"/>
          <w:sz w:val="28"/>
          <w:szCs w:val="28"/>
        </w:rPr>
        <w:t>.</w:t>
      </w:r>
    </w:p>
    <w:p w:rsidR="00C85AF5" w:rsidRPr="00F37559" w:rsidRDefault="00C85AF5" w:rsidP="00C85AF5">
      <w:pPr>
        <w:spacing w:line="360" w:lineRule="auto"/>
        <w:jc w:val="both"/>
        <w:rPr>
          <w:rFonts w:asciiTheme="majorBidi" w:hAnsiTheme="majorBidi" w:cstheme="majorBidi"/>
          <w:sz w:val="28"/>
          <w:szCs w:val="28"/>
        </w:rPr>
      </w:pPr>
    </w:p>
    <w:p w:rsidR="00C85AF5" w:rsidRPr="009C080E" w:rsidRDefault="00C85AF5" w:rsidP="00C85AF5">
      <w:pPr>
        <w:pStyle w:val="ListParagraph"/>
        <w:numPr>
          <w:ilvl w:val="1"/>
          <w:numId w:val="4"/>
        </w:numPr>
        <w:spacing w:line="360" w:lineRule="auto"/>
        <w:jc w:val="both"/>
        <w:rPr>
          <w:rFonts w:asciiTheme="majorBidi" w:hAnsiTheme="majorBidi" w:cstheme="majorBidi"/>
          <w:b/>
          <w:bCs/>
          <w:sz w:val="28"/>
          <w:szCs w:val="28"/>
        </w:rPr>
      </w:pPr>
      <w:r w:rsidRPr="009C080E">
        <w:rPr>
          <w:rFonts w:asciiTheme="majorBidi" w:hAnsiTheme="majorBidi" w:cstheme="majorBidi"/>
          <w:b/>
          <w:bCs/>
          <w:sz w:val="28"/>
          <w:szCs w:val="28"/>
        </w:rPr>
        <w:t>Varus malalignment</w:t>
      </w:r>
    </w:p>
    <w:p w:rsidR="00C85AF5" w:rsidRPr="009C080E" w:rsidRDefault="00C85AF5" w:rsidP="00C85AF5">
      <w:pPr>
        <w:spacing w:line="360" w:lineRule="auto"/>
        <w:jc w:val="both"/>
        <w:rPr>
          <w:rFonts w:asciiTheme="majorBidi" w:hAnsiTheme="majorBidi" w:cstheme="majorBidi"/>
          <w:sz w:val="28"/>
          <w:szCs w:val="28"/>
        </w:rPr>
      </w:pPr>
      <w:r w:rsidRPr="009C080E">
        <w:rPr>
          <w:rFonts w:asciiTheme="majorBidi" w:hAnsiTheme="majorBidi" w:cstheme="majorBidi"/>
          <w:sz w:val="28"/>
          <w:szCs w:val="28"/>
        </w:rPr>
        <w:t xml:space="preserve">Varus malalignment of the knee is a condition characterized by an abnormal inward angulation of the lower leg in relation to the thigh. In this alignment, the tibia deviates towards the midline of the body, resulting in a bow-legged appearance. This malalignment disrupts the normal biomechanics of the knee joint, affecting the distribution of forces and potentially leading to various </w:t>
      </w:r>
      <w:r w:rsidRPr="009C080E">
        <w:rPr>
          <w:rFonts w:asciiTheme="majorBidi" w:hAnsiTheme="majorBidi" w:cstheme="majorBidi"/>
          <w:sz w:val="28"/>
          <w:szCs w:val="28"/>
        </w:rPr>
        <w:lastRenderedPageBreak/>
        <w:t>musculoskeletal issues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&lt;EndNote&gt;&lt;Cite&gt;&lt;Author&gt;Thienpont&lt;/Author&gt;&lt;Year&gt;2016&lt;/Year&gt;&lt;RecNum&gt;67&lt;/RecNum&gt;&lt;DisplayText&gt;(Thienpont and Parvizi, 2016)&lt;/DisplayText&gt;&lt;record&gt;&lt;rec-number&gt;67&lt;/rec-number&gt;&lt;foreign-keys&gt;&lt;key app="EN" db-id="9spzx9t20pvxenev0tipzdr82dazvrfef9fe" timestamp="1702459021"&gt;67&lt;/key&gt;&lt;/foreign-keys&gt;&lt;ref-type name="Journal Article"&gt;17&lt;/ref-type&gt;&lt;contributors&gt;&lt;authors&gt;&lt;author&gt;Thienpont, Emmanuel&lt;/author&gt;&lt;author&gt;Parvizi, Javad&lt;/author&gt;&lt;/authors&gt;&lt;/contributors&gt;&lt;titles&gt;&lt;title&gt;A new classification for the varus knee&lt;/title&gt;&lt;secondary-title&gt;The Journal of Arthroplasty&lt;/secondary-title&gt;&lt;/titles&gt;&lt;periodical&gt;&lt;full-title&gt;The Journal of Arthroplasty&lt;/full-title&gt;&lt;/periodical&gt;&lt;pages&gt;2156-2160&lt;/pages&gt;&lt;volume&gt;31&lt;/volume&gt;&lt;number&gt;10&lt;/number&gt;&lt;dates&gt;&lt;year&gt;2016&lt;/year&gt;&lt;/dates&gt;&lt;isbn&gt;0883-5403&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(Thienpont and Parvizi, 2016)</w:t>
      </w:r>
      <w:r>
        <w:rPr>
          <w:rFonts w:asciiTheme="majorBidi" w:hAnsiTheme="majorBidi" w:cstheme="majorBidi"/>
          <w:sz w:val="28"/>
          <w:szCs w:val="28"/>
        </w:rPr>
        <w:fldChar w:fldCharType="end"/>
      </w:r>
      <w:r w:rsidRPr="009C080E">
        <w:rPr>
          <w:rFonts w:asciiTheme="majorBidi" w:hAnsiTheme="majorBidi" w:cstheme="majorBidi"/>
          <w:sz w:val="28"/>
          <w:szCs w:val="28"/>
        </w:rPr>
        <w:t>.</w:t>
      </w:r>
      <w:r>
        <w:rPr>
          <w:rFonts w:asciiTheme="majorBidi" w:hAnsiTheme="majorBidi" w:cstheme="majorBidi"/>
          <w:sz w:val="28"/>
          <w:szCs w:val="28"/>
        </w:rPr>
        <w:t xml:space="preserve"> </w:t>
      </w:r>
      <w:r w:rsidRPr="009C080E">
        <w:rPr>
          <w:rFonts w:asciiTheme="majorBidi" w:hAnsiTheme="majorBidi" w:cstheme="majorBidi"/>
          <w:sz w:val="28"/>
          <w:szCs w:val="28"/>
        </w:rPr>
        <w:t>Common causes of varus malalignment include:</w:t>
      </w:r>
    </w:p>
    <w:p w:rsidR="00C85AF5" w:rsidRPr="009C080E" w:rsidRDefault="00C85AF5" w:rsidP="00C85AF5">
      <w:pPr>
        <w:numPr>
          <w:ilvl w:val="0"/>
          <w:numId w:val="5"/>
        </w:numPr>
        <w:spacing w:line="360" w:lineRule="auto"/>
        <w:jc w:val="both"/>
        <w:rPr>
          <w:rFonts w:asciiTheme="majorBidi" w:hAnsiTheme="majorBidi" w:cstheme="majorBidi"/>
          <w:sz w:val="28"/>
          <w:szCs w:val="28"/>
        </w:rPr>
      </w:pPr>
      <w:r w:rsidRPr="009C080E">
        <w:rPr>
          <w:rFonts w:asciiTheme="majorBidi" w:hAnsiTheme="majorBidi" w:cstheme="majorBidi"/>
          <w:b/>
          <w:bCs/>
          <w:sz w:val="28"/>
          <w:szCs w:val="28"/>
        </w:rPr>
        <w:t>Genetics:</w:t>
      </w:r>
      <w:r w:rsidRPr="009C080E">
        <w:rPr>
          <w:rFonts w:asciiTheme="majorBidi" w:hAnsiTheme="majorBidi" w:cstheme="majorBidi"/>
          <w:sz w:val="28"/>
          <w:szCs w:val="28"/>
        </w:rPr>
        <w:t xml:space="preserve"> In some cases, varus malalignment may have a hereditary component, where individuals inherit a predisposition for the condition.</w:t>
      </w:r>
    </w:p>
    <w:p w:rsidR="00C85AF5" w:rsidRPr="009C080E" w:rsidRDefault="00C85AF5" w:rsidP="00C85AF5">
      <w:pPr>
        <w:numPr>
          <w:ilvl w:val="0"/>
          <w:numId w:val="5"/>
        </w:numPr>
        <w:spacing w:line="360" w:lineRule="auto"/>
        <w:jc w:val="both"/>
        <w:rPr>
          <w:rFonts w:asciiTheme="majorBidi" w:hAnsiTheme="majorBidi" w:cstheme="majorBidi"/>
          <w:sz w:val="28"/>
          <w:szCs w:val="28"/>
        </w:rPr>
      </w:pPr>
      <w:r w:rsidRPr="009C080E">
        <w:rPr>
          <w:rFonts w:asciiTheme="majorBidi" w:hAnsiTheme="majorBidi" w:cstheme="majorBidi"/>
          <w:b/>
          <w:bCs/>
          <w:sz w:val="28"/>
          <w:szCs w:val="28"/>
        </w:rPr>
        <w:t>Osteoarthritis:</w:t>
      </w:r>
      <w:r w:rsidRPr="009C080E">
        <w:rPr>
          <w:rFonts w:asciiTheme="majorBidi" w:hAnsiTheme="majorBidi" w:cstheme="majorBidi"/>
          <w:sz w:val="28"/>
          <w:szCs w:val="28"/>
        </w:rPr>
        <w:t xml:space="preserve"> Progressive degeneration of the knee joint, often associated with aging, can contribute to varus malalignment.</w:t>
      </w:r>
    </w:p>
    <w:p w:rsidR="00C85AF5" w:rsidRPr="009C080E" w:rsidRDefault="00C85AF5" w:rsidP="00C85AF5">
      <w:pPr>
        <w:numPr>
          <w:ilvl w:val="0"/>
          <w:numId w:val="5"/>
        </w:numPr>
        <w:spacing w:line="360" w:lineRule="auto"/>
        <w:jc w:val="both"/>
        <w:rPr>
          <w:rFonts w:asciiTheme="majorBidi" w:hAnsiTheme="majorBidi" w:cstheme="majorBidi"/>
          <w:sz w:val="28"/>
          <w:szCs w:val="28"/>
        </w:rPr>
      </w:pPr>
      <w:r w:rsidRPr="009C080E">
        <w:rPr>
          <w:rFonts w:asciiTheme="majorBidi" w:hAnsiTheme="majorBidi" w:cstheme="majorBidi"/>
          <w:b/>
          <w:bCs/>
          <w:sz w:val="28"/>
          <w:szCs w:val="28"/>
        </w:rPr>
        <w:t>Trauma:</w:t>
      </w:r>
      <w:r w:rsidRPr="009C080E">
        <w:rPr>
          <w:rFonts w:asciiTheme="majorBidi" w:hAnsiTheme="majorBidi" w:cstheme="majorBidi"/>
          <w:sz w:val="28"/>
          <w:szCs w:val="28"/>
        </w:rPr>
        <w:t xml:space="preserve"> Previous injuries, such as fractures or ligament damage, can disrupt the normal alignment of the knee and lead to varus malalignment.</w:t>
      </w:r>
    </w:p>
    <w:p w:rsidR="00C85AF5" w:rsidRPr="009C080E" w:rsidRDefault="00C85AF5" w:rsidP="00C85AF5">
      <w:pPr>
        <w:numPr>
          <w:ilvl w:val="0"/>
          <w:numId w:val="5"/>
        </w:numPr>
        <w:spacing w:line="360" w:lineRule="auto"/>
        <w:jc w:val="both"/>
        <w:rPr>
          <w:rFonts w:asciiTheme="majorBidi" w:hAnsiTheme="majorBidi" w:cstheme="majorBidi"/>
          <w:sz w:val="28"/>
          <w:szCs w:val="28"/>
        </w:rPr>
      </w:pPr>
      <w:r w:rsidRPr="009C080E">
        <w:rPr>
          <w:rFonts w:asciiTheme="majorBidi" w:hAnsiTheme="majorBidi" w:cstheme="majorBidi"/>
          <w:b/>
          <w:bCs/>
          <w:sz w:val="28"/>
          <w:szCs w:val="28"/>
        </w:rPr>
        <w:t>Obesity:</w:t>
      </w:r>
      <w:r w:rsidRPr="009C080E">
        <w:rPr>
          <w:rFonts w:asciiTheme="majorBidi" w:hAnsiTheme="majorBidi" w:cstheme="majorBidi"/>
          <w:sz w:val="28"/>
          <w:szCs w:val="28"/>
        </w:rPr>
        <w:t xml:space="preserve"> Excess body weight can exert additional stress on the knee joint, contributing to malalignment.</w:t>
      </w:r>
    </w:p>
    <w:p w:rsidR="00C85AF5" w:rsidRDefault="00C85AF5" w:rsidP="00C85AF5">
      <w:pPr>
        <w:spacing w:line="360" w:lineRule="auto"/>
        <w:jc w:val="both"/>
        <w:rPr>
          <w:rFonts w:asciiTheme="majorBidi" w:hAnsiTheme="majorBidi" w:cstheme="majorBidi"/>
          <w:sz w:val="28"/>
          <w:szCs w:val="28"/>
        </w:rPr>
      </w:pPr>
      <w:r w:rsidRPr="009C080E">
        <w:rPr>
          <w:rFonts w:asciiTheme="majorBidi" w:hAnsiTheme="majorBidi" w:cstheme="majorBidi"/>
          <w:sz w:val="28"/>
          <w:szCs w:val="28"/>
        </w:rPr>
        <w:t>Varus malalignment can result in increased pressure on the medial (inner) compartment of the knee, leading to accelerated wear and tear of the joint surfaces. This can eventually contribute to the development or progression of osteoarthritis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&lt;EndNote&gt;&lt;Cite&gt;&lt;Author&gt;Kakihana&lt;/Author&gt;&lt;Year&gt;2007&lt;/Year&gt;&lt;RecNum&gt;68&lt;/RecNum&gt;&lt;DisplayText&gt;(Kakihana et al., 2007)&lt;/DisplayText&gt;&lt;record&gt;&lt;rec-number&gt;68&lt;/rec-number&gt;&lt;foreign-keys&gt;&lt;key app="EN" db-id="9spzx9t20pvxenev0tipzdr82dazvrfef9fe" timestamp="1702459103"&gt;68&lt;/key&gt;&lt;/foreign-keys&gt;&lt;ref-type name="Journal Article"&gt;17&lt;/ref-type&gt;&lt;contributors&gt;&lt;authors&gt;&lt;author&gt;Kakihana, Wataru&lt;/author&gt;&lt;author&gt;Akai, Masami&lt;/author&gt;&lt;author&gt;Nakazawa, Kimitaka&lt;/author&gt;&lt;author&gt;Naito, Kenji&lt;/author&gt;&lt;author&gt;Torii, Suguru&lt;/author&gt;&lt;/authors&gt;&lt;/contributors&gt;&lt;titles&gt;&lt;title&gt;Inconsistent knee varus moment reduction caused by a lateral wedge in knee osteoarthritis&lt;/title&gt;&lt;secondary-title&gt;American journal of physical medicine &amp;amp; rehabilitation&lt;/secondary-title&gt;&lt;/titles&gt;&lt;periodical&gt;&lt;full-title&gt;American journal of physical medicine &amp;amp; rehabilitation&lt;/full-title&gt;&lt;/periodical&gt;&lt;pages&gt;446-454&lt;/pages&gt;&lt;volume&gt;86&lt;/volume&gt;&lt;number&gt;6&lt;/number&gt;&lt;dates&gt;&lt;year&gt;2007&lt;/year&gt;&lt;/dates&gt;&lt;isbn&gt;0894-9115&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(Kakihana et al., 2007)</w:t>
      </w:r>
      <w:r>
        <w:rPr>
          <w:rFonts w:asciiTheme="majorBidi" w:hAnsiTheme="majorBidi" w:cstheme="majorBidi"/>
          <w:sz w:val="28"/>
          <w:szCs w:val="28"/>
        </w:rPr>
        <w:fldChar w:fldCharType="end"/>
      </w:r>
      <w:r w:rsidRPr="009C080E">
        <w:rPr>
          <w:rFonts w:asciiTheme="majorBidi" w:hAnsiTheme="majorBidi" w:cstheme="majorBidi"/>
          <w:sz w:val="28"/>
          <w:szCs w:val="28"/>
        </w:rPr>
        <w:t>.</w:t>
      </w:r>
    </w:p>
    <w:p w:rsidR="00C85AF5" w:rsidRPr="009C080E" w:rsidRDefault="00C85AF5" w:rsidP="00C85AF5">
      <w:pPr>
        <w:spacing w:line="360" w:lineRule="auto"/>
        <w:jc w:val="both"/>
        <w:rPr>
          <w:rFonts w:asciiTheme="majorBidi" w:hAnsiTheme="majorBidi" w:cstheme="majorBidi"/>
          <w:sz w:val="28"/>
          <w:szCs w:val="28"/>
        </w:rPr>
      </w:pPr>
      <w:r w:rsidRPr="008E2069">
        <w:rPr>
          <w:rFonts w:asciiTheme="majorBidi" w:hAnsiTheme="majorBidi" w:cstheme="majorBidi"/>
          <w:sz w:val="28"/>
          <w:szCs w:val="28"/>
        </w:rPr>
        <w:t xml:space="preserve">There are various methods used to diagnose varus malalignment, including physical examination, imaging tests such as X-rays or MRI, and biomechanical assessments. </w:t>
      </w:r>
    </w:p>
    <w:p w:rsidR="00C85AF5" w:rsidRDefault="00C85AF5" w:rsidP="00C85AF5">
      <w:pPr>
        <w:spacing w:line="360" w:lineRule="auto"/>
        <w:jc w:val="both"/>
        <w:rPr>
          <w:rFonts w:asciiTheme="majorBidi" w:hAnsiTheme="majorBidi" w:cstheme="majorBidi"/>
          <w:sz w:val="28"/>
          <w:szCs w:val="28"/>
        </w:rPr>
      </w:pPr>
      <w:r w:rsidRPr="009C080E">
        <w:rPr>
          <w:rFonts w:asciiTheme="majorBidi" w:hAnsiTheme="majorBidi" w:cstheme="majorBidi"/>
          <w:sz w:val="28"/>
          <w:szCs w:val="28"/>
        </w:rPr>
        <w:t>Management of varus malalignment may involve a combination of conservative and, in some cases, surgical interventions. Conservative measures may include physical therapy to strengthen muscles around the knee, orthotic devices, and weight management. In more severe cases or when conservative measures are not sufficient, surgical options such as osteotomy (repositioning of bones) or joint replacement may be considered to correct the malalignment and alleviate symptoms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&lt;EndNote&gt;&lt;Cite&gt;&lt;Author&gt;Sherman&lt;/Author&gt;&lt;Year&gt;2018&lt;/Year&gt;&lt;RecNum&gt;70&lt;/RecNum&gt;&lt;DisplayText&gt;(Sherman et al., 2018)&lt;/DisplayText&gt;&lt;record&gt;&lt;rec-number&gt;70&lt;/rec-number&gt;&lt;foreign-keys&gt;&lt;key app="EN" db-id="9spzx9t20pvxenev0tipzdr82dazvrfef9fe" timestamp="1702459162"&gt;70&lt;/key&gt;&lt;/foreign-keys&gt;&lt;ref-type name="Journal Article"&gt;17&lt;/ref-type&gt;&lt;contributors&gt;&lt;authors&gt;&lt;author&gt;Sherman, Seth L&lt;/author&gt;&lt;author&gt;Thompson, Samuel F&lt;/author&gt;&lt;author&gt;Clohisy, John CF&lt;/author&gt;&lt;/authors&gt;&lt;/contributors&gt;&lt;titles&gt;&lt;title&gt;Distal femoral varus osteotomy for the management of valgus deformity of the knee&lt;/title&gt;&lt;secondary-title&gt;JAAOS-Journal of the American Academy of Orthopaedic Surgeons&lt;/secondary-title&gt;&lt;/titles&gt;&lt;periodical&gt;&lt;full-title&gt;JAAOS-Journal of the American Academy of Orthopaedic Surgeons&lt;/full-title&gt;&lt;/periodical&gt;&lt;pages&gt;313-324&lt;/pages&gt;&lt;volume&gt;26&lt;/volume&gt;&lt;number&gt;9&lt;/number&gt;&lt;dates&gt;&lt;year&gt;2018&lt;/year&gt;&lt;/dates&gt;&lt;isbn&gt;1067-151X&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(Sherman et al., 2018)</w:t>
      </w:r>
      <w:r>
        <w:rPr>
          <w:rFonts w:asciiTheme="majorBidi" w:hAnsiTheme="majorBidi" w:cstheme="majorBidi"/>
          <w:sz w:val="28"/>
          <w:szCs w:val="28"/>
        </w:rPr>
        <w:fldChar w:fldCharType="end"/>
      </w:r>
      <w:r w:rsidRPr="009C080E">
        <w:rPr>
          <w:rFonts w:asciiTheme="majorBidi" w:hAnsiTheme="majorBidi" w:cstheme="majorBidi"/>
          <w:sz w:val="28"/>
          <w:szCs w:val="28"/>
        </w:rPr>
        <w:t>.</w:t>
      </w:r>
    </w:p>
    <w:p w:rsidR="00C85AF5" w:rsidRPr="00857C88" w:rsidRDefault="00C85AF5" w:rsidP="00C85AF5">
      <w:pPr>
        <w:spacing w:line="360" w:lineRule="auto"/>
        <w:jc w:val="both"/>
        <w:rPr>
          <w:rFonts w:asciiTheme="majorBidi" w:hAnsiTheme="majorBidi" w:cstheme="majorBidi"/>
          <w:sz w:val="28"/>
          <w:szCs w:val="28"/>
        </w:rPr>
      </w:pPr>
    </w:p>
    <w:p w:rsidR="00C85AF5" w:rsidRPr="00857C88" w:rsidRDefault="00C85AF5" w:rsidP="00C85AF5">
      <w:pPr>
        <w:pStyle w:val="ListParagraph"/>
        <w:numPr>
          <w:ilvl w:val="1"/>
          <w:numId w:val="4"/>
        </w:numPr>
        <w:spacing w:line="360" w:lineRule="auto"/>
        <w:jc w:val="both"/>
        <w:rPr>
          <w:rFonts w:asciiTheme="majorBidi" w:hAnsiTheme="majorBidi" w:cstheme="majorBidi"/>
          <w:b/>
          <w:bCs/>
          <w:sz w:val="28"/>
          <w:szCs w:val="28"/>
        </w:rPr>
      </w:pPr>
      <w:r w:rsidRPr="00857C88">
        <w:rPr>
          <w:rFonts w:asciiTheme="majorBidi" w:hAnsiTheme="majorBidi" w:cstheme="majorBidi"/>
          <w:b/>
          <w:bCs/>
          <w:sz w:val="28"/>
          <w:szCs w:val="28"/>
        </w:rPr>
        <w:t xml:space="preserve">Valgus malalignment </w:t>
      </w:r>
    </w:p>
    <w:p w:rsidR="00C85AF5" w:rsidRDefault="00C85AF5" w:rsidP="00C85AF5">
      <w:pPr>
        <w:spacing w:line="360" w:lineRule="auto"/>
        <w:jc w:val="both"/>
        <w:rPr>
          <w:rFonts w:asciiTheme="majorBidi" w:hAnsiTheme="majorBidi" w:cstheme="majorBidi"/>
          <w:sz w:val="28"/>
          <w:szCs w:val="28"/>
        </w:rPr>
      </w:pPr>
      <w:r w:rsidRPr="00857C88">
        <w:rPr>
          <w:rFonts w:asciiTheme="majorBidi" w:hAnsiTheme="majorBidi" w:cstheme="majorBidi"/>
          <w:sz w:val="28"/>
          <w:szCs w:val="28"/>
        </w:rPr>
        <w:lastRenderedPageBreak/>
        <w:t>Valgus malalignment of the knees is a condition characterized by an abnormal outward angulation of the lower leg in relation to the thigh. In this alignment, the tibia deviates away from the midline of the body, resulting in a knock-kneed appearance. Valgus malalignment disrupts the normal biomechanics of the knee joint, affecting the distribution of forces and potentially leading to various musculoskeletal issues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&lt;EndNote&gt;&lt;Cite&gt;&lt;Author&gt;Felson&lt;/Author&gt;&lt;Year&gt;2013&lt;/Year&gt;&lt;RecNum&gt;71&lt;/RecNum&gt;&lt;DisplayText&gt;(Felson et al., 2013)&lt;/DisplayText&gt;&lt;record&gt;&lt;rec-number&gt;71&lt;/rec-number&gt;&lt;foreign-keys&gt;&lt;key app="EN" db-id="9spzx9t20pvxenev0tipzdr82dazvrfef9fe" timestamp="1702459730"&gt;71&lt;/key&gt;&lt;/foreign-keys&gt;&lt;ref-type name="Journal Article"&gt;17&lt;/ref-type&gt;&lt;contributors&gt;&lt;authors&gt;&lt;author&gt;Felson, David T&lt;/author&gt;&lt;author&gt;Niu, Jingbo&lt;/author&gt;&lt;author&gt;Gross, K Douglas&lt;/author&gt;&lt;author&gt;Englund, Martin&lt;/author&gt;&lt;author&gt;Sharma, Leena&lt;/author&gt;&lt;author&gt;Cooke, T Derek V&lt;/author&gt;&lt;author&gt;Guermazi, Ali&lt;/author&gt;&lt;author&gt;Roemer, Frank W&lt;/author&gt;&lt;author&gt;Segal, Neil&lt;/author&gt;&lt;author&gt;Goggins, Joyce M&lt;/author&gt;&lt;/authors&gt;&lt;/contributors&gt;&lt;titles&gt;&lt;title&gt;Valgus malalignment is a risk factor for lateral knee osteoarthritis incidence and progression: findings from the Multicenter Osteoarthritis Study and the Osteoarthritis Initiative&lt;/title&gt;&lt;secondary-title&gt;Arthritis &amp;amp; Rheumatism&lt;/secondary-title&gt;&lt;/titles&gt;&lt;periodical&gt;&lt;full-title&gt;Arthritis &amp;amp; Rheumatism&lt;/full-title&gt;&lt;/periodical&gt;&lt;pages&gt;355-362&lt;/pages&gt;&lt;volume&gt;65&lt;/volume&gt;&lt;number&gt;2&lt;/number&gt;&lt;dates&gt;&lt;year&gt;2013&lt;/year&gt;&lt;/dates&gt;&lt;isbn&gt;0004-3591&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(Felson et al., 2013)</w:t>
      </w:r>
      <w:r>
        <w:rPr>
          <w:rFonts w:asciiTheme="majorBidi" w:hAnsiTheme="majorBidi" w:cstheme="majorBidi"/>
          <w:sz w:val="28"/>
          <w:szCs w:val="28"/>
        </w:rPr>
        <w:fldChar w:fldCharType="end"/>
      </w:r>
      <w:r w:rsidRPr="00857C88">
        <w:rPr>
          <w:rFonts w:asciiTheme="majorBidi" w:hAnsiTheme="majorBidi" w:cstheme="majorBidi"/>
          <w:sz w:val="28"/>
          <w:szCs w:val="28"/>
        </w:rPr>
        <w:t>.</w:t>
      </w:r>
    </w:p>
    <w:p w:rsidR="00C85AF5" w:rsidRPr="00857C88" w:rsidRDefault="00C85AF5" w:rsidP="00C85AF5">
      <w:pPr>
        <w:spacing w:line="360" w:lineRule="auto"/>
        <w:jc w:val="both"/>
        <w:rPr>
          <w:rFonts w:asciiTheme="majorBidi" w:hAnsiTheme="majorBidi" w:cstheme="majorBidi"/>
          <w:sz w:val="28"/>
          <w:szCs w:val="28"/>
        </w:rPr>
      </w:pPr>
      <w:r w:rsidRPr="00857C88">
        <w:rPr>
          <w:rFonts w:asciiTheme="majorBidi" w:hAnsiTheme="majorBidi" w:cstheme="majorBidi"/>
          <w:sz w:val="28"/>
          <w:szCs w:val="28"/>
        </w:rPr>
        <w:t xml:space="preserve">Valgus malalignment can be caused by various factors, including congenital or developmental abnormalities, trauma to the knee, or degenerative changes in the knee joint. It is commonly seen in individuals who participate in high-impact sports, such as football, basketball, and soccer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&lt;EndNote&gt;&lt;Cite&gt;&lt;Author&gt;Hunter&lt;/Author&gt;&lt;Year&gt;2005&lt;/Year&gt;&lt;RecNum&gt;72&lt;/RecNum&gt;&lt;DisplayText&gt;(Hunter et al., 2005)&lt;/DisplayText&gt;&lt;record&gt;&lt;rec-number&gt;72&lt;/rec-number&gt;&lt;foreign-keys&gt;&lt;key app="EN" db-id="9spzx9t20pvxenev0tipzdr82dazvrfef9fe" timestamp="1702459777"&gt;72&lt;/key&gt;&lt;/foreign-keys&gt;&lt;ref-type name="Journal Article"&gt;17&lt;/ref-type&gt;&lt;contributors&gt;&lt;authors&gt;&lt;author&gt;Hunter, David J&lt;/author&gt;&lt;author&gt;Zhang, Yuqing&lt;/author&gt;&lt;author&gt;Niu, Jingbo&lt;/author&gt;&lt;author&gt;Tu, Xianghua&lt;/author&gt;&lt;author&gt;Amin, Shreyasee&lt;/author&gt;&lt;author&gt;Goggins, Joyce&lt;/author&gt;&lt;author&gt;Lavalley, Michael&lt;/author&gt;&lt;author&gt;Guermazi, Ali&lt;/author&gt;&lt;author&gt;Gale, Daniel&lt;/author&gt;&lt;author&gt;Felson, David T&lt;/author&gt;&lt;/authors&gt;&lt;/contributors&gt;&lt;titles&gt;&lt;title&gt;Structural factors associated with malalignment in knee osteoarthritis: the Boston osteoarthritis knee study&lt;/title&gt;&lt;secondary-title&gt;The Journal of rheumatology&lt;/secondary-title&gt;&lt;/titles&gt;&lt;periodical&gt;&lt;full-title&gt;The Journal of rheumatology&lt;/full-title&gt;&lt;/periodical&gt;&lt;pages&gt;2192-2199&lt;/pages&gt;&lt;volume&gt;32&lt;/volume&gt;&lt;number&gt;11&lt;/number&gt;&lt;dates&gt;&lt;year&gt;2005&lt;/year&gt;&lt;/dates&gt;&lt;isbn&gt;0315-162X&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(Hunter et al., 2005)</w:t>
      </w:r>
      <w:r>
        <w:rPr>
          <w:rFonts w:asciiTheme="majorBidi" w:hAnsiTheme="majorBidi" w:cstheme="majorBidi"/>
          <w:sz w:val="28"/>
          <w:szCs w:val="28"/>
        </w:rPr>
        <w:fldChar w:fldCharType="end"/>
      </w:r>
      <w:r w:rsidRPr="00857C88">
        <w:rPr>
          <w:rFonts w:asciiTheme="majorBidi" w:hAnsiTheme="majorBidi" w:cstheme="majorBidi"/>
          <w:sz w:val="28"/>
          <w:szCs w:val="28"/>
        </w:rPr>
        <w:t>.</w:t>
      </w:r>
    </w:p>
    <w:p w:rsidR="00C85AF5" w:rsidRPr="00857C88" w:rsidRDefault="00C85AF5" w:rsidP="00C85AF5">
      <w:pPr>
        <w:spacing w:line="360" w:lineRule="auto"/>
        <w:jc w:val="both"/>
        <w:rPr>
          <w:rFonts w:asciiTheme="majorBidi" w:hAnsiTheme="majorBidi" w:cstheme="majorBidi"/>
          <w:sz w:val="28"/>
          <w:szCs w:val="28"/>
        </w:rPr>
      </w:pPr>
      <w:r w:rsidRPr="00857C88">
        <w:rPr>
          <w:rFonts w:asciiTheme="majorBidi" w:hAnsiTheme="majorBidi" w:cstheme="majorBidi"/>
          <w:sz w:val="28"/>
          <w:szCs w:val="28"/>
        </w:rPr>
        <w:t>Valgus malalignment can result in increased pressure on the lateral (outer) compartment of the knee, leading to accelerated wear and tear of the joint surfaces. This can eventually contribute to the development or progression of osteoarthritis.</w:t>
      </w:r>
    </w:p>
    <w:p w:rsidR="00C85AF5" w:rsidRDefault="00C85AF5" w:rsidP="00C85AF5">
      <w:pPr>
        <w:spacing w:line="360" w:lineRule="auto"/>
        <w:jc w:val="both"/>
        <w:rPr>
          <w:rFonts w:asciiTheme="majorBidi" w:hAnsiTheme="majorBidi" w:cstheme="majorBidi"/>
          <w:sz w:val="28"/>
          <w:szCs w:val="28"/>
        </w:rPr>
      </w:pPr>
      <w:r w:rsidRPr="00857C88">
        <w:rPr>
          <w:rFonts w:asciiTheme="majorBidi" w:hAnsiTheme="majorBidi" w:cstheme="majorBidi"/>
          <w:sz w:val="28"/>
          <w:szCs w:val="28"/>
        </w:rPr>
        <w:t>Management of valgus malalignment may involve a combination of conservative and, in some cases, surgical interventions. Conservative measures may include physical therapy to strengthen muscles around the knee, orthotic devices, and weight management. In more severe cases or when conservative measures are not sufficient, surgical options such as osteotomy (repositioning of bones) or joint replacement may be considered to correct the malalignment and alleviate symptoms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&lt;EndNote&gt;&lt;Cite&gt;&lt;Author&gt;Felson&lt;/Author&gt;&lt;Year&gt;2013&lt;/Year&gt;&lt;RecNum&gt;73&lt;/RecNum&gt;&lt;DisplayText&gt;(Felson et al., 2013)&lt;/DisplayText&gt;&lt;record&gt;&lt;rec-number&gt;73&lt;/rec-number&gt;&lt;foreign-keys&gt;&lt;key app="EN" db-id="9spzx9t20pvxenev0tipzdr82dazvrfef9fe" timestamp="1702459839"&gt;73&lt;/key&gt;&lt;/foreign-keys&gt;&lt;ref-type name="Journal Article"&gt;17&lt;/ref-type&gt;&lt;contributors&gt;&lt;authors&gt;&lt;author&gt;Felson, David T&lt;/author&gt;&lt;author&gt;Niu, Jingbo&lt;/author&gt;&lt;author&gt;Gross, K Douglas&lt;/author&gt;&lt;author&gt;Englund, Martin&lt;/author&gt;&lt;author&gt;Sharma, Leena&lt;/author&gt;&lt;author&gt;Cooke, T Derek V&lt;/author&gt;&lt;author&gt;Guermazi, Ali&lt;/author&gt;&lt;author&gt;Roemer, Frank W&lt;/author&gt;&lt;author&gt;Segal, Neil&lt;/author&gt;&lt;author&gt;Goggins, Joyce M&lt;/author&gt;&lt;/authors&gt;&lt;/contributors&gt;&lt;titles&gt;&lt;title&gt;Valgus malalignment is a risk factor for lateral knee osteoarthritis incidence and progression: findings from the Multicenter Osteoarthritis Study and the Osteoarthritis Initiative&lt;/title&gt;&lt;secondary-title&gt;Arthritis &amp;amp; Rheumatism&lt;/secondary-title&gt;&lt;/titles&gt;&lt;periodical&gt;&lt;full-title&gt;Arthritis &amp;amp; Rheumatism&lt;/full-title&gt;&lt;/periodical&gt;&lt;pages&gt;355-362&lt;/pages&gt;&lt;volume&gt;65&lt;/volume&gt;&lt;number&gt;2&lt;/number&gt;&lt;dates&gt;&lt;year&gt;2013&lt;/year&gt;&lt;/dates&gt;&lt;isbn&gt;0004-3591&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(Felson et al., 2013)</w:t>
      </w:r>
      <w:r>
        <w:rPr>
          <w:rFonts w:asciiTheme="majorBidi" w:hAnsiTheme="majorBidi" w:cstheme="majorBidi"/>
          <w:sz w:val="28"/>
          <w:szCs w:val="28"/>
        </w:rPr>
        <w:fldChar w:fldCharType="end"/>
      </w:r>
      <w:r w:rsidRPr="00857C88">
        <w:rPr>
          <w:rFonts w:asciiTheme="majorBidi" w:hAnsiTheme="majorBidi" w:cstheme="majorBidi"/>
          <w:sz w:val="28"/>
          <w:szCs w:val="28"/>
        </w:rPr>
        <w:t>.</w:t>
      </w:r>
    </w:p>
    <w:p w:rsidR="00C85AF5" w:rsidRPr="00857C88" w:rsidRDefault="00C85AF5" w:rsidP="00C85AF5">
      <w:pPr>
        <w:spacing w:line="360" w:lineRule="auto"/>
        <w:jc w:val="both"/>
        <w:rPr>
          <w:rFonts w:asciiTheme="majorBidi" w:hAnsiTheme="majorBidi" w:cstheme="majorBidi"/>
          <w:sz w:val="28"/>
          <w:szCs w:val="28"/>
        </w:rPr>
      </w:pPr>
    </w:p>
    <w:p w:rsidR="00C85AF5" w:rsidRPr="00751669"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2.12. </w:t>
      </w:r>
      <w:r w:rsidRPr="00751669">
        <w:rPr>
          <w:rFonts w:asciiTheme="majorBidi" w:hAnsiTheme="majorBidi" w:cstheme="majorBidi"/>
          <w:b/>
          <w:bCs/>
          <w:sz w:val="28"/>
          <w:szCs w:val="28"/>
        </w:rPr>
        <w:t>Effect of biomechani</w:t>
      </w:r>
      <w:r>
        <w:rPr>
          <w:rFonts w:asciiTheme="majorBidi" w:hAnsiTheme="majorBidi" w:cstheme="majorBidi"/>
          <w:b/>
          <w:bCs/>
          <w:sz w:val="28"/>
          <w:szCs w:val="28"/>
        </w:rPr>
        <w:t>c</w:t>
      </w:r>
      <w:r w:rsidRPr="00751669">
        <w:rPr>
          <w:rFonts w:asciiTheme="majorBidi" w:hAnsiTheme="majorBidi" w:cstheme="majorBidi"/>
          <w:b/>
          <w:bCs/>
          <w:sz w:val="28"/>
          <w:szCs w:val="28"/>
        </w:rPr>
        <w:t xml:space="preserve"> on body</w:t>
      </w:r>
    </w:p>
    <w:p w:rsidR="00C85AF5" w:rsidRDefault="00C85AF5" w:rsidP="00C85AF5">
      <w:pPr>
        <w:spacing w:line="360" w:lineRule="auto"/>
        <w:jc w:val="both"/>
        <w:rPr>
          <w:rFonts w:asciiTheme="majorBidi" w:hAnsiTheme="majorBidi" w:cstheme="majorBidi"/>
          <w:sz w:val="28"/>
          <w:szCs w:val="28"/>
        </w:rPr>
      </w:pPr>
      <w:r w:rsidRPr="00B03896">
        <w:rPr>
          <w:rFonts w:asciiTheme="majorBidi" w:hAnsiTheme="majorBidi" w:cstheme="majorBidi"/>
          <w:sz w:val="28"/>
          <w:szCs w:val="28"/>
        </w:rPr>
        <w:t xml:space="preserve">Biomechanics, an interdisciplinary field encompassing biology, physics, engineering, and mathematics, delves into the mechanical principles governing the movement and structure of living organisms. Its impact on the human body is extensive and diverse, with effects ranging from positive to negative </w:t>
      </w:r>
      <w:r w:rsidRPr="00B03896">
        <w:rPr>
          <w:rFonts w:asciiTheme="majorBidi" w:hAnsiTheme="majorBidi" w:cstheme="majorBidi"/>
          <w:sz w:val="28"/>
          <w:szCs w:val="28"/>
        </w:rPr>
        <w:lastRenderedPageBreak/>
        <w:t>contingent on various factors. A profound understanding of biomechanics facilitates injury prevention, as insights into movement and posture help individuals avoid injuries resulting from improper form or overuse. Additionally, biomechanical analysis aids in rehabilitation by identifying underlying causes of injuries or movement dysfunction, allowing for targeted corrective exercises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&lt;EndNote&gt;&lt;Cite&gt;&lt;Author&gt;Bolgla&lt;/Author&gt;&lt;Year&gt;2011&lt;/Year&gt;&lt;RecNum&gt;74&lt;/RecNum&gt;&lt;DisplayText&gt;(Bolgla and Boling, 2011)&lt;/DisplayText&gt;&lt;record&gt;&lt;rec-number&gt;74&lt;/rec-number&gt;&lt;foreign-keys&gt;&lt;key app="EN" db-id="9spzx9t20pvxenev0tipzdr82dazvrfef9fe" timestamp="1702460274"&gt;74&lt;/key&gt;&lt;/foreign-keys&gt;&lt;ref-type name="Journal Article"&gt;17&lt;/ref-type&gt;&lt;contributors&gt;&lt;authors&gt;&lt;author&gt;Bolgla, Lori A&lt;/author&gt;&lt;author&gt;Boling, Michelle C&lt;/author&gt;&lt;/authors&gt;&lt;/contributors&gt;&lt;titles&gt;&lt;title&gt;An update for the conservative management of patellofemoral pain syndrome: a systematic review of the literature from 2000 to 2010&lt;/title&gt;&lt;secondary-title&gt;International journal of sports physical therapy&lt;/secondary-title&gt;&lt;/titles&gt;&lt;periodical&gt;&lt;full-title&gt;International journal of sports physical therapy&lt;/full-title&gt;&lt;/periodical&gt;&lt;pages&gt;112&lt;/pages&gt;&lt;volume&gt;6&lt;/volume&gt;&lt;number&gt;2&lt;/number&gt;&lt;dates&gt;&lt;year&gt;2011&lt;/year&gt;&lt;/dates&gt;&lt;urls&gt;&lt;/urls&gt;&lt;/record&gt;&lt;/Cite&gt;&lt;/EndNote&gt;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(Bolgla and Boling, 2011)</w:t>
      </w:r>
      <w:r>
        <w:rPr>
          <w:rFonts w:asciiTheme="majorBidi" w:hAnsiTheme="majorBidi" w:cstheme="majorBidi"/>
          <w:sz w:val="28"/>
          <w:szCs w:val="28"/>
        </w:rPr>
        <w:fldChar w:fldCharType="end"/>
      </w:r>
      <w:r w:rsidRPr="00B03896">
        <w:rPr>
          <w:rFonts w:asciiTheme="majorBidi" w:hAnsiTheme="majorBidi" w:cstheme="majorBidi"/>
          <w:sz w:val="28"/>
          <w:szCs w:val="28"/>
        </w:rPr>
        <w:t>. The optimization of movement patterns through biomechanics also contributes to performance enhancement, enabling individuals to elevate their athletic prowess and overall physical abilities. Crucially, biomechanics plays a pivotal role in safeguarding joint health, mitigating the risk of degenerative conditions like arthritis, and fostering efficient muscular development. Conversely, poor biomechanics can have adverse effects, leading to joint pain, muscle strains, injuries, and, if neglected over time, chronic pain and musculoskeletal disorders. Hence, the application of biomechanical principles to movement and posture holds the potential for significant positive impacts on the body, emphasizing the importance of understanding and incorporating these principles for holistic well-being</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&lt;EndNote&gt;&lt;Cite&gt;&lt;Author&gt;Zhou&lt;/Author&gt;&lt;Year&gt;2021&lt;/Year&gt;&lt;RecNum&gt;76&lt;/RecNum&gt;&lt;DisplayText&gt;(Zhou et al., 2021, Chen et al., 2022)&lt;/DisplayText&gt;&lt;record&gt;&lt;rec-number&gt;76&lt;/rec-number&gt;&lt;foreign-keys&gt;&lt;key app="EN" db-id="9spzx9t20pvxenev0tipzdr82dazvrfef9fe" timestamp="1702460535"&gt;76&lt;/key&gt;&lt;/foreign-keys&gt;&lt;ref-type name="Journal Article"&gt;17&lt;/ref-type&gt;&lt;contributors&gt;&lt;authors&gt;&lt;author&gt;Zhou, Xin&lt;/author&gt;&lt;author&gt;Liu, Geng&lt;/author&gt;&lt;author&gt;Han, Bing&lt;/author&gt;&lt;author&gt;Wu, Liyan&lt;/author&gt;&lt;author&gt;Li, Hui&lt;/author&gt;&lt;/authors&gt;&lt;/contributors&gt;&lt;titles&gt;&lt;title&gt;Design of a human lower limbs exoskeleton for biomechanical energy harvesting and assist walking&lt;/title&gt;&lt;secondary-title&gt;Energy Technology&lt;/secondary-title&gt;&lt;/titles&gt;&lt;periodical&gt;&lt;full-title&gt;Energy Technology&lt;/full-title&gt;&lt;/periodical&gt;&lt;pages&gt;2000726&lt;/pages&gt;&lt;volume&gt;9&lt;/volume&gt;&lt;number&gt;1&lt;/number&gt;&lt;dates&gt;&lt;year&gt;2021&lt;/year&gt;&lt;/dates&gt;&lt;isbn&gt;2194-4288&lt;/isbn&gt;&lt;urls&gt;&lt;/urls&gt;&lt;/record&gt;&lt;/Cite&gt;&lt;Cite&gt;&lt;Author&gt;Chen&lt;/Author&gt;&lt;Year&gt;2022&lt;/Year&gt;&lt;RecNum&gt;75&lt;/RecNum&gt;&lt;record&gt;&lt;rec-number&gt;75&lt;/rec-number&gt;&lt;foreign-keys&gt;&lt;key app="EN" db-id="9spzx9t20pvxenev0tipzdr82dazvrfef9fe" timestamp="1702460475"&gt;75&lt;/key&gt;&lt;/foreign-keys&gt;&lt;ref-type name="Journal Article"&gt;17&lt;/ref-type&gt;&lt;contributors&gt;&lt;authors&gt;&lt;author&gt;Chen, Hairong&lt;/author&gt;&lt;author&gt;Shao, Enze&lt;/author&gt;&lt;author&gt;Sun, Dong&lt;/author&gt;&lt;author&gt;Xuan, Rongrong&lt;/author&gt;&lt;author&gt;Baker, Julien S&lt;/author&gt;&lt;author&gt;Gu, Yaodong&lt;/author&gt;&lt;/authors&gt;&lt;/contributors&gt;&lt;titles&gt;&lt;title&gt;Effects of footwear with different longitudinal bending stiffness on biomechanical characteristics and muscular mechanics of lower limbs in adolescent runners&lt;/title&gt;&lt;secondary-title&gt;Frontiers in Physiology&lt;/secondary-title&gt;&lt;/titles&gt;&lt;periodical&gt;&lt;full-title&gt;Frontiers in Physiology&lt;/full-title&gt;&lt;/periodical&gt;&lt;pages&gt;907016&lt;/pages&gt;&lt;volume&gt;13&lt;/volume&gt;&lt;dates&gt;&lt;year&gt;2022&lt;/year&gt;&lt;/dates&gt;&lt;isbn&gt;1664-042X&lt;/isbn&gt;&lt;urls&gt;&lt;/urls&gt;&lt;/record&gt;&lt;/Cite&gt;&lt;/EndNote&gt;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(Zhou et al., 2021, Chen et al., 2022)</w:t>
      </w:r>
      <w:r>
        <w:rPr>
          <w:rFonts w:asciiTheme="majorBidi" w:hAnsiTheme="majorBidi" w:cstheme="majorBidi"/>
          <w:sz w:val="28"/>
          <w:szCs w:val="28"/>
        </w:rPr>
        <w:fldChar w:fldCharType="end"/>
      </w:r>
      <w:r>
        <w:rPr>
          <w:rFonts w:asciiTheme="majorBidi" w:hAnsiTheme="majorBidi" w:cstheme="majorBidi"/>
          <w:sz w:val="28"/>
          <w:szCs w:val="28"/>
        </w:rPr>
        <w:t>.</w:t>
      </w:r>
    </w:p>
    <w:p w:rsidR="00C85AF5" w:rsidRPr="00751669" w:rsidRDefault="00C85AF5" w:rsidP="00C85AF5">
      <w:pPr>
        <w:spacing w:line="360" w:lineRule="auto"/>
        <w:jc w:val="both"/>
        <w:rPr>
          <w:rFonts w:asciiTheme="majorBidi" w:hAnsiTheme="majorBidi" w:cstheme="majorBidi"/>
          <w:sz w:val="28"/>
          <w:szCs w:val="28"/>
        </w:rPr>
      </w:pPr>
    </w:p>
    <w:p w:rsidR="00C85AF5" w:rsidRPr="00751669"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2.13. </w:t>
      </w:r>
      <w:r w:rsidRPr="00751669">
        <w:rPr>
          <w:rFonts w:asciiTheme="majorBidi" w:hAnsiTheme="majorBidi" w:cstheme="majorBidi"/>
          <w:b/>
          <w:bCs/>
          <w:sz w:val="28"/>
          <w:szCs w:val="28"/>
        </w:rPr>
        <w:t xml:space="preserve">Relation between biomechanic and osteoarthritis </w:t>
      </w:r>
    </w:p>
    <w:p w:rsidR="00C85AF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Biomechanics and osteoarthritis are closely related as abnormal biomechanics can lead to the development and progression of osteoarthritis. Biomechanics is the study of how forces and movements affect the human body, while osteoarthritis is a degenerative joint disease characterized by the breakdown of joint cartilage and bone, often causing pain and stiffness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&lt;EndNote&gt;&lt;Cite&gt;&lt;Author&gt;Guilak&lt;/Author&gt;&lt;Year&gt;2011&lt;/Year&gt;&lt;RecNum&gt;77&lt;/RecNum&gt;&lt;DisplayText&gt;(Guilak, 2011)&lt;/DisplayText&gt;&lt;record&gt;&lt;rec-number&gt;77&lt;/rec-number&gt;&lt;foreign-keys&gt;&lt;key app="EN" db-id="9spzx9t20pvxenev0tipzdr82dazvrfef9fe" timestamp="1702462448"&gt;77&lt;/key&gt;&lt;/foreign-keys&gt;&lt;ref-type name="Journal Article"&gt;17&lt;/ref-type&gt;&lt;contributors&gt;&lt;authors&gt;&lt;author&gt;Guilak, Farshid&lt;/author&gt;&lt;/authors&gt;&lt;/contributors&gt;&lt;titles&gt;&lt;title&gt;Biomechanical factors in osteoarthritis&lt;/title&gt;&lt;secondary-title&gt;Best practice &amp;amp; research Clinical rheumatology&lt;/secondary-title&gt;&lt;/titles&gt;&lt;periodical&gt;&lt;full-title&gt;Best practice &amp;amp; research Clinical rheumatology&lt;/full-title&gt;&lt;/periodical&gt;&lt;pages&gt;815-823&lt;/pages&gt;&lt;volume&gt;25&lt;/volume&gt;&lt;number&gt;6&lt;/number&gt;&lt;dates&gt;&lt;year&gt;2011&lt;/year&gt;&lt;/dates&gt;&lt;isbn&gt;1521-6942&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(Guilak, 2011)</w:t>
      </w:r>
      <w:r>
        <w:rPr>
          <w:rFonts w:asciiTheme="majorBidi" w:hAnsiTheme="majorBidi" w:cstheme="majorBidi"/>
          <w:sz w:val="28"/>
          <w:szCs w:val="28"/>
        </w:rPr>
        <w:fldChar w:fldCharType="end"/>
      </w:r>
      <w:r w:rsidRPr="00751669">
        <w:rPr>
          <w:rFonts w:asciiTheme="majorBidi" w:hAnsiTheme="majorBidi" w:cstheme="majorBidi"/>
          <w:sz w:val="28"/>
          <w:szCs w:val="28"/>
        </w:rPr>
        <w:t xml:space="preserve">. Abnormal biomechanics, such as poor posture, repetitive stress, and abnormal joint alignment, can cause increased wear and tear on joint surfaces, leading to cartilage breakdown and osteoarthritis. For example, individuals with flat feet or high arches may have altered biomechanics that can lead to increased stress </w:t>
      </w:r>
      <w:r w:rsidRPr="00751669">
        <w:rPr>
          <w:rFonts w:asciiTheme="majorBidi" w:hAnsiTheme="majorBidi" w:cstheme="majorBidi"/>
          <w:sz w:val="28"/>
          <w:szCs w:val="28"/>
        </w:rPr>
        <w:lastRenderedPageBreak/>
        <w:t xml:space="preserve">on their knees, which may increase the risk of developing osteoarthritis in the knee joint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&lt;EndNote&gt;&lt;Cite&gt;&lt;Author&gt;Guilak&lt;/Author&gt;&lt;Year&gt;2011&lt;/Year&gt;&lt;RecNum&gt;77&lt;/RecNum&gt;&lt;DisplayText&gt;(Guilak, 2011)&lt;/DisplayText&gt;&lt;record&gt;&lt;rec-number&gt;77&lt;/rec-number&gt;&lt;foreign-keys&gt;&lt;key app="EN" db-id="9spzx9t20pvxenev0tipzdr82dazvrfef9fe" timestamp="1702462448"&gt;77&lt;/key&gt;&lt;/foreign-keys&gt;&lt;ref-type name="Journal Article"&gt;17&lt;/ref-type&gt;&lt;contributors&gt;&lt;authors&gt;&lt;author&gt;Guilak, Farshid&lt;/author&gt;&lt;/authors&gt;&lt;/contributors&gt;&lt;titles&gt;&lt;title&gt;Biomechanical factors in osteoarthritis&lt;/title&gt;&lt;secondary-title&gt;Best practice &amp;amp; research Clinical rheumatology&lt;/secondary-title&gt;&lt;/titles&gt;&lt;periodical&gt;&lt;full-title&gt;Best practice &amp;amp; research Clinical rheumatology&lt;/full-title&gt;&lt;/periodical&gt;&lt;pages&gt;815-823&lt;/pages&gt;&lt;volume&gt;25&lt;/volume&gt;&lt;number&gt;6&lt;/number&gt;&lt;dates&gt;&lt;year&gt;2011&lt;/year&gt;&lt;/dates&gt;&lt;isbn&gt;1521-6942&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(Guilak, 2011)</w:t>
      </w:r>
      <w:r>
        <w:rPr>
          <w:rFonts w:asciiTheme="majorBidi" w:hAnsiTheme="majorBidi" w:cstheme="majorBidi"/>
          <w:sz w:val="28"/>
          <w:szCs w:val="28"/>
        </w:rPr>
        <w:fldChar w:fldCharType="end"/>
      </w:r>
      <w:r w:rsidRPr="00751669">
        <w:rPr>
          <w:rFonts w:asciiTheme="majorBidi" w:hAnsiTheme="majorBidi" w:cstheme="majorBidi"/>
          <w:sz w:val="28"/>
          <w:szCs w:val="28"/>
        </w:rPr>
        <w:t>. Additionally, obesity, which alters the biomechanics of weight-bearing joints, is a significant risk factor for the development and progression of osteoarthritis, particularly in the knees and hips. The excessive weight increases the load on the joint surfaces, causing increased wear and tear on the cartilage. In conclusion, maintaining proper biomechanics through appropriate exercise, footwear, and posture can help reduce the risk of developing osteoarthritis or slow its progression in individuals who have already been diagnosed</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&lt;EndNote&gt;&lt;Cite&gt;&lt;Author&gt;Heijink&lt;/Author&gt;&lt;Year&gt;2012&lt;/Year&gt;&lt;RecNum&gt;78&lt;/RecNum&gt;&lt;DisplayText&gt;(Heijink et al., 2012)&lt;/DisplayText&gt;&lt;record&gt;&lt;rec-number&gt;78&lt;/rec-number&gt;&lt;foreign-keys&gt;&lt;key app="EN" db-id="9spzx9t20pvxenev0tipzdr82dazvrfef9fe" timestamp="1702462615"&gt;78&lt;/key&gt;&lt;/foreign-keys&gt;&lt;ref-type name="Journal Article"&gt;17&lt;/ref-type&gt;&lt;contributors&gt;&lt;authors&gt;&lt;author&gt;Heijink, Andras&lt;/author&gt;&lt;author&gt;Gomoll, Andreas H&lt;/author&gt;&lt;author&gt;Madry, Henning&lt;/author&gt;&lt;author&gt;Drobnič, Matej&lt;/author&gt;&lt;author&gt;Filardo, Giuseppe&lt;/author&gt;&lt;author&gt;Espregueira-Mendes, Joao&lt;/author&gt;&lt;author&gt;Van Dijk, C Niek&lt;/author&gt;&lt;/authors&gt;&lt;/contributors&gt;&lt;titles&gt;&lt;title&gt;Biomechanical considerations in the pathogenesis of osteoarthritis of the knee&lt;/title&gt;&lt;secondary-title&gt;Knee Surgery, Sports Traumatology, Arthroscopy&lt;/secondary-title&gt;&lt;/titles&gt;&lt;periodical&gt;&lt;full-title&gt;Knee Surgery, Sports Traumatology, Arthroscopy&lt;/full-title&gt;&lt;/periodical&gt;&lt;pages&gt;423-435&lt;/pages&gt;&lt;volume&gt;20&lt;/volume&gt;&lt;dates&gt;&lt;year&gt;2012&lt;/year&gt;&lt;/dates&gt;&lt;isbn&gt;0942-2056&lt;/isbn&gt;&lt;urls&gt;&lt;/urls&gt;&lt;/record&gt;&lt;/Cite&gt;&lt;/EndNote&gt;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(Heijink et al., 2012)</w:t>
      </w:r>
      <w:r>
        <w:rPr>
          <w:rFonts w:asciiTheme="majorBidi" w:hAnsiTheme="majorBidi" w:cstheme="majorBidi"/>
          <w:sz w:val="28"/>
          <w:szCs w:val="28"/>
        </w:rPr>
        <w:fldChar w:fldCharType="end"/>
      </w:r>
      <w:r>
        <w:rPr>
          <w:rFonts w:asciiTheme="majorBidi" w:hAnsiTheme="majorBidi" w:cstheme="majorBidi"/>
          <w:sz w:val="28"/>
          <w:szCs w:val="28"/>
        </w:rPr>
        <w:t>.</w:t>
      </w:r>
      <w:r w:rsidRPr="00751669">
        <w:rPr>
          <w:rFonts w:asciiTheme="majorBidi" w:hAnsiTheme="majorBidi" w:cstheme="majorBidi"/>
          <w:sz w:val="28"/>
          <w:szCs w:val="28"/>
        </w:rPr>
        <w:tab/>
      </w:r>
    </w:p>
    <w:p w:rsidR="00C85AF5" w:rsidRPr="00751669"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There are numerous studies that have investigated the relationship between biomechanics and osteoarthritis</w:t>
      </w:r>
      <w:r>
        <w:rPr>
          <w:rFonts w:asciiTheme="majorBidi" w:hAnsiTheme="majorBidi" w:cstheme="majorBidi"/>
          <w:sz w:val="28"/>
          <w:szCs w:val="28"/>
        </w:rPr>
        <w:t>:</w:t>
      </w:r>
    </w:p>
    <w:p w:rsidR="00C85AF5" w:rsidRPr="00751669"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A study published in the journal Osteoarthritis and Cartilage found that individuals with abnormal knee biomechanics, such as increased knee adduction moment and internal rotation during walking, had a higher risk of developing knee osteoarthritis. The study concluded that abnormal biomechanics may be a modifiable risk factor for knee osteoarthritis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&lt;EndNote&gt;&lt;Cite&gt;&lt;Author&gt;Bennell&lt;/Author&gt;&lt;Year&gt;2011&lt;/Year&gt;&lt;RecNum&gt;79&lt;/RecNum&gt;&lt;DisplayText&gt;(Bennell et al., 2011)&lt;/DisplayText&gt;&lt;record&gt;&lt;rec-number&gt;79&lt;/rec-number&gt;&lt;foreign-keys&gt;&lt;key app="EN" db-id="9spzx9t20pvxenev0tipzdr82dazvrfef9fe" timestamp="1702462968"&gt;79&lt;/key&gt;&lt;/foreign-keys&gt;&lt;ref-type name="Journal Article"&gt;17&lt;/ref-type&gt;&lt;contributors&gt;&lt;authors&gt;&lt;author&gt;Bennell, Kim L&lt;/author&gt;&lt;author&gt;Bowles, Kelly-Ann&lt;/author&gt;&lt;author&gt;Wang, Yuanyuan&lt;/author&gt;&lt;author&gt;Cicuttini, Flavia&lt;/author&gt;&lt;author&gt;Davies-Tuck, Miranda&lt;/author&gt;&lt;author&gt;Hinman, Rana S&lt;/author&gt;&lt;/authors&gt;&lt;/contributors&gt;&lt;titles&gt;&lt;title&gt;Higher dynamic medial knee load predicts greater cartilage loss over 12 months in medial knee osteoarthritis&lt;/title&gt;&lt;secondary-title&gt;Annals of the rheumatic diseases&lt;/secondary-title&gt;&lt;/titles&gt;&lt;periodical&gt;&lt;full-title&gt;Annals of the rheumatic diseases&lt;/full-title&gt;&lt;/periodical&gt;&lt;pages&gt;1770-1774&lt;/pages&gt;&lt;volume&gt;70&lt;/volume&gt;&lt;number&gt;10&lt;/number&gt;&lt;dates&gt;&lt;year&gt;2011&lt;/year&gt;&lt;/dates&gt;&lt;isbn&gt;0003-4967&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(Bennell et al., 2011)</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A review published in the journal Arthritis Research and Therapy examined the relationship between obesity, biomechanics, and osteoarthritis. The review concluded that obesity alters biomechanics and increases the load on weight-bearing joints, leading to an increased risk of developing osteoarthritis. The authors suggested that weight loss interventions aimed at reducing the load on joints may be effective in reducing the risk of osteoarthritis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&lt;EndNote&gt;&lt;Cite&gt;&lt;Author&gt;Guilak&lt;/Author&gt;&lt;Year&gt;2011&lt;/Year&gt;&lt;RecNum&gt;80&lt;/RecNum&gt;&lt;DisplayText&gt;(Guilak, 2011)&lt;/DisplayText&gt;&lt;record&gt;&lt;rec-number&gt;80&lt;/rec-number&gt;&lt;foreign-keys&gt;&lt;key app="EN" db-id="9spzx9t20pvxenev0tipzdr82dazvrfef9fe" timestamp="1702463177"&gt;80&lt;/key&gt;&lt;/foreign-keys&gt;&lt;ref-type name="Journal Article"&gt;17&lt;/ref-type&gt;&lt;contributors&gt;&lt;authors&gt;&lt;author&gt;Guilak, Farshid&lt;/author&gt;&lt;/authors&gt;&lt;/contributors&gt;&lt;titles&gt;&lt;title&gt;Biomechanical factors in osteoarthritis&lt;/title&gt;&lt;secondary-title&gt;Best practice &amp;amp; research Clinical rheumatology&lt;/secondary-title&gt;&lt;/titles&gt;&lt;periodical&gt;&lt;full-title&gt;Best practice &amp;amp; research Clinical rheumatology&lt;/full-title&gt;&lt;/periodical&gt;&lt;pages&gt;815-823&lt;/pages&gt;&lt;volume&gt;25&lt;/volume&gt;&lt;number&gt;6&lt;/number&gt;&lt;dates&gt;&lt;year&gt;2011&lt;/year&gt;&lt;/dates&gt;&lt;isbn&gt;1521-6942&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(Guilak, 2011)</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spacing w:line="360" w:lineRule="auto"/>
        <w:rPr>
          <w:rFonts w:asciiTheme="majorBidi" w:hAnsiTheme="majorBidi" w:cstheme="majorBidi"/>
          <w:sz w:val="28"/>
          <w:szCs w:val="28"/>
        </w:rPr>
      </w:pPr>
    </w:p>
    <w:p w:rsidR="00C85AF5" w:rsidRPr="00DF035D"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color w:val="343541"/>
          <w:sz w:val="28"/>
          <w:szCs w:val="28"/>
        </w:rPr>
        <w:t xml:space="preserve">2.14. </w:t>
      </w:r>
      <w:r w:rsidRPr="00751669">
        <w:rPr>
          <w:rFonts w:asciiTheme="majorBidi" w:hAnsiTheme="majorBidi" w:cstheme="majorBidi"/>
          <w:b/>
          <w:bCs/>
          <w:color w:val="343541"/>
          <w:sz w:val="28"/>
          <w:szCs w:val="28"/>
        </w:rPr>
        <w:t>Role of biomechanical alignment in managing Osteoarthritis</w:t>
      </w:r>
    </w:p>
    <w:p w:rsidR="00C85AF5" w:rsidRPr="00751669"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Biomechanical alignment plays an important role in managing osteoarthritis (OA) as it helps to reduce stress and strain on the affected joints. Biomechanical </w:t>
      </w:r>
      <w:r w:rsidRPr="00751669">
        <w:rPr>
          <w:rFonts w:asciiTheme="majorBidi" w:hAnsiTheme="majorBidi" w:cstheme="majorBidi"/>
          <w:sz w:val="28"/>
          <w:szCs w:val="28"/>
        </w:rPr>
        <w:lastRenderedPageBreak/>
        <w:t xml:space="preserve">alignment refers to the alignment and positioning of the body during movement, which affects the distribution of forces throughout the joints. Studies have shown that abnormal biomechanical alignment can increase the risk of OA and accelerate its progression. For example, malalignment of the knee joint, such as Varus or valgus alignment, has been associated with an increased risk of developing knee OA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&lt;EndNote&gt;&lt;Cite&gt;&lt;Author&gt;Sharma&lt;/Author&gt;&lt;Year&gt;2010&lt;/Year&gt;&lt;RecNum&gt;81&lt;/RecNum&gt;&lt;DisplayText&gt;(Sharma et al., 2010)&lt;/DisplayText&gt;&lt;record&gt;&lt;rec-number&gt;81&lt;/rec-number&gt;&lt;foreign-keys&gt;&lt;key app="EN" db-id="9spzx9t20pvxenev0tipzdr82dazvrfef9fe" timestamp="1702463420"&gt;81&lt;/key&gt;&lt;/foreign-keys&gt;&lt;ref-type name="Journal Article"&gt;17&lt;/ref-type&gt;&lt;contributors&gt;&lt;authors&gt;&lt;author&gt;Sharma, Leena&lt;/author&gt;&lt;author&gt;Song, Jing&lt;/author&gt;&lt;author&gt;Dunlop, Dorothy&lt;/author&gt;&lt;author&gt;Felson, David&lt;/author&gt;&lt;author&gt;Lewis, Cora E&lt;/author&gt;&lt;author&gt;Segal, Neil&lt;/author&gt;&lt;author&gt;Torner, James&lt;/author&gt;&lt;author&gt;Cooke, T Derek V&lt;/author&gt;&lt;author&gt;Hietpas, Jean&lt;/author&gt;&lt;author&gt;Lynch, John&lt;/author&gt;&lt;/authors&gt;&lt;/contributors&gt;&lt;titles&gt;&lt;title&gt;Varus and valgus alignment and incident and progressive knee osteoarthritis&lt;/title&gt;&lt;secondary-title&gt;Annals of the rheumatic diseases&lt;/secondary-title&gt;&lt;/titles&gt;&lt;periodical&gt;&lt;full-title&gt;Annals of the rheumatic diseases&lt;/full-title&gt;&lt;/periodical&gt;&lt;pages&gt;1940-1945&lt;/pages&gt;&lt;volume&gt;69&lt;/volume&gt;&lt;number&gt;11&lt;/number&gt;&lt;dates&gt;&lt;year&gt;2010&lt;/year&gt;&lt;/dates&gt;&lt;isbn&gt;0003-4967&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(Sharma et al., 2010)</w:t>
      </w:r>
      <w:r>
        <w:rPr>
          <w:rFonts w:asciiTheme="majorBidi" w:hAnsiTheme="majorBidi" w:cstheme="majorBidi"/>
          <w:sz w:val="28"/>
          <w:szCs w:val="28"/>
        </w:rPr>
        <w:fldChar w:fldCharType="end"/>
      </w:r>
      <w:r w:rsidRPr="00751669">
        <w:rPr>
          <w:rFonts w:asciiTheme="majorBidi" w:hAnsiTheme="majorBidi" w:cstheme="majorBidi"/>
          <w:sz w:val="28"/>
          <w:szCs w:val="28"/>
        </w:rPr>
        <w:t>. Similarly, abnormal alignment of the hip joint, such as hip dysplasia, has been linked to the development of hip OA. Proper biomechanical alignment can help reduce pain and improve joint function in patients with OA. Here are some ways in which biomechanical alignment can be used to manage OA:</w:t>
      </w:r>
    </w:p>
    <w:p w:rsidR="00C85AF5" w:rsidRPr="00751669" w:rsidRDefault="00C85AF5" w:rsidP="00C85AF5">
      <w:pPr>
        <w:numPr>
          <w:ilvl w:val="0"/>
          <w:numId w:val="3"/>
        </w:numPr>
        <w:spacing w:line="360" w:lineRule="auto"/>
        <w:jc w:val="both"/>
        <w:rPr>
          <w:rFonts w:asciiTheme="majorBidi" w:hAnsiTheme="majorBidi" w:cstheme="majorBidi"/>
          <w:sz w:val="28"/>
          <w:szCs w:val="28"/>
        </w:rPr>
      </w:pPr>
      <w:r w:rsidRPr="00ED2437">
        <w:rPr>
          <w:rFonts w:asciiTheme="majorBidi" w:hAnsiTheme="majorBidi" w:cstheme="majorBidi"/>
          <w:b/>
          <w:bCs/>
          <w:sz w:val="28"/>
          <w:szCs w:val="28"/>
        </w:rPr>
        <w:t>Gait analysis:</w:t>
      </w:r>
      <w:r w:rsidRPr="00751669">
        <w:rPr>
          <w:rFonts w:asciiTheme="majorBidi" w:hAnsiTheme="majorBidi" w:cstheme="majorBidi"/>
          <w:sz w:val="28"/>
          <w:szCs w:val="28"/>
        </w:rPr>
        <w:t xml:space="preserve"> Gait analysis involves evaluating the way a person walks to identify any abnormal movement patterns that may be contributing to joint stress. Based on the findings of gait analysis, a physical therapist can design an exercise program that focuses on correcting movement patterns and improving biomechanical alignment</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&lt;EndNote&gt;&lt;Cite&gt;&lt;Author&gt;Hall&lt;/Author&gt;&lt;Year&gt;2012&lt;/Year&gt;&lt;RecNum&gt;84&lt;/RecNum&gt;&lt;DisplayText&gt;(Hall et al., 2012)&lt;/DisplayText&gt;&lt;record&gt;&lt;rec-number&gt;84&lt;/rec-number&gt;&lt;foreign-keys&gt;&lt;key app="EN" db-id="9spzx9t20pvxenev0tipzdr82dazvrfef9fe" timestamp="1702463914"&gt;84&lt;/key&gt;&lt;/foreign-keys&gt;&lt;ref-type name="Journal Article"&gt;17&lt;/ref-type&gt;&lt;contributors&gt;&lt;authors&gt;&lt;author&gt;Hall, Michelle&lt;/author&gt;&lt;author&gt;Stevermer, Catherine A&lt;/author&gt;&lt;author&gt;Gillette, Jason C&lt;/author&gt;&lt;/authors&gt;&lt;/contributors&gt;&lt;titles&gt;&lt;title&gt;Gait analysis post anterior cruciate ligament reconstruction: knee osteoarthritis perspective&lt;/title&gt;&lt;secondary-title&gt;Gait &amp;amp; posture&lt;/secondary-title&gt;&lt;/titles&gt;&lt;periodical&gt;&lt;full-title&gt;Gait &amp;amp; posture&lt;/full-title&gt;&lt;/periodical&gt;&lt;pages&gt;56-60&lt;/pages&gt;&lt;volume&gt;36&lt;/volume&gt;&lt;number&gt;1&lt;/number&gt;&lt;dates&gt;&lt;year&gt;2012&lt;/year&gt;&lt;/dates&gt;&lt;isbn&gt;0966-6362&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(Hall et al., 2012)</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numPr>
          <w:ilvl w:val="0"/>
          <w:numId w:val="3"/>
        </w:numPr>
        <w:spacing w:line="360" w:lineRule="auto"/>
        <w:jc w:val="both"/>
        <w:rPr>
          <w:rFonts w:asciiTheme="majorBidi" w:hAnsiTheme="majorBidi" w:cstheme="majorBidi"/>
          <w:sz w:val="28"/>
          <w:szCs w:val="28"/>
        </w:rPr>
      </w:pPr>
      <w:r w:rsidRPr="00ED2437">
        <w:rPr>
          <w:rFonts w:asciiTheme="majorBidi" w:hAnsiTheme="majorBidi" w:cstheme="majorBidi"/>
          <w:b/>
          <w:bCs/>
          <w:sz w:val="28"/>
          <w:szCs w:val="28"/>
        </w:rPr>
        <w:t>Footwear:</w:t>
      </w:r>
      <w:r w:rsidRPr="00751669">
        <w:rPr>
          <w:rFonts w:asciiTheme="majorBidi" w:hAnsiTheme="majorBidi" w:cstheme="majorBidi"/>
          <w:sz w:val="28"/>
          <w:szCs w:val="28"/>
        </w:rPr>
        <w:t xml:space="preserve"> Proper footwear is important for maintaining good biomechanical alignment. Shoes that provide good arch support and cushioning can help distribute forces evenly throughout the foot and reduce stress on the knee and hip joints. In some cases, custom orthotics may be prescribed to help correct biomechanical alignment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&lt;EndNote&gt;&lt;Cite&gt;&lt;Author&gt;Sharma&lt;/Author&gt;&lt;Year&gt;2010&lt;/Year&gt;&lt;RecNum&gt;83&lt;/RecNum&gt;&lt;DisplayText&gt;(Sharma et al., 2010)&lt;/DisplayText&gt;&lt;record&gt;&lt;rec-number&gt;83&lt;/rec-number&gt;&lt;foreign-keys&gt;&lt;key app="EN" db-id="9spzx9t20pvxenev0tipzdr82dazvrfef9fe" timestamp="1702463638"&gt;83&lt;/key&gt;&lt;/foreign-keys&gt;&lt;ref-type name="Journal Article"&gt;17&lt;/ref-type&gt;&lt;contributors&gt;&lt;authors&gt;&lt;author&gt;Sharma, Leena&lt;/author&gt;&lt;author&gt;Song, Jing&lt;/author&gt;&lt;author&gt;Dunlop, Dorothy&lt;/author&gt;&lt;author&gt;Felson, David&lt;/author&gt;&lt;author&gt;Lewis, Cora E&lt;/author&gt;&lt;author&gt;Segal, Neil&lt;/author&gt;&lt;author&gt;Torner, James&lt;/author&gt;&lt;author&gt;Cooke, T Derek V&lt;/author&gt;&lt;author&gt;Hietpas, Jean&lt;/author&gt;&lt;author&gt;Lynch, John&lt;/author&gt;&lt;/authors&gt;&lt;/contributors&gt;&lt;titles&gt;&lt;title&gt;Varus and valgus alignment and incident and progressive knee osteoarthritis&lt;/title&gt;&lt;secondary-title&gt;Annals of the rheumatic diseases&lt;/secondary-title&gt;&lt;/titles&gt;&lt;periodical&gt;&lt;full-title&gt;Annals of the rheumatic diseases&lt;/full-title&gt;&lt;/periodical&gt;&lt;pages&gt;1940-1945&lt;/pages&gt;&lt;volume&gt;69&lt;/volume&gt;&lt;number&gt;11&lt;/number&gt;&lt;dates&gt;&lt;year&gt;2010&lt;/year&gt;&lt;/dates&gt;&lt;isbn&gt;0003-4967&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(Sharma et al., 2010)</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numPr>
          <w:ilvl w:val="0"/>
          <w:numId w:val="3"/>
        </w:numPr>
        <w:spacing w:line="360" w:lineRule="auto"/>
        <w:jc w:val="both"/>
        <w:rPr>
          <w:rFonts w:asciiTheme="majorBidi" w:hAnsiTheme="majorBidi" w:cstheme="majorBidi"/>
          <w:sz w:val="28"/>
          <w:szCs w:val="28"/>
        </w:rPr>
      </w:pPr>
      <w:r w:rsidRPr="00ED2437">
        <w:rPr>
          <w:rFonts w:asciiTheme="majorBidi" w:hAnsiTheme="majorBidi" w:cstheme="majorBidi"/>
          <w:b/>
          <w:bCs/>
          <w:sz w:val="28"/>
          <w:szCs w:val="28"/>
        </w:rPr>
        <w:t>Exercise:</w:t>
      </w:r>
      <w:r w:rsidRPr="00751669">
        <w:rPr>
          <w:rFonts w:asciiTheme="majorBidi" w:hAnsiTheme="majorBidi" w:cstheme="majorBidi"/>
          <w:sz w:val="28"/>
          <w:szCs w:val="28"/>
        </w:rPr>
        <w:t xml:space="preserve"> Exercise is an important component of OA management, and certain types of exercise can help improve biomechanical alignment. Low-impact activities like walking, cycling, and swimming can help improve joint function and reduce pain by promoting proper alignment and reducing joint stress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&lt;EndNote&gt;&lt;Cite&gt;&lt;Author&gt;Goff&lt;/Author&gt;&lt;Year&gt;2021&lt;/Year&gt;&lt;RecNum&gt;85&lt;/RecNum&gt;&lt;DisplayText&gt;(Goff et al., 2021)&lt;/DisplayText&gt;&lt;record&gt;&lt;rec-number&gt;85&lt;/rec-number&gt;&lt;foreign-keys&gt;&lt;key app="EN" db-id="9spzx9t20pvxenev0tipzdr82dazvrfef9fe" timestamp="1702463988"&gt;85&lt;/key&gt;&lt;/foreign-keys&gt;&lt;ref-type name="Journal Article"&gt;17&lt;/ref-type&gt;&lt;contributors&gt;&lt;authors&gt;&lt;author&gt;Goff, Anthony J&lt;/author&gt;&lt;author&gt;Silva, Danilo De Oliveira&lt;/author&gt;&lt;author&gt;Merolli, Mark&lt;/author&gt;&lt;author&gt;Bell, Emily C&lt;/author&gt;&lt;author&gt;Crossley, Kay M&lt;/author&gt;&lt;author&gt;Barton, Christian J&lt;/author&gt;&lt;/authors&gt;&lt;/contributors&gt;&lt;titles&gt;&lt;title&gt;Patient education improves pain and function in people with knee osteoarthritis with better effects when combined with exercise therapy: a systematic review&lt;/title&gt;&lt;secondary-title&gt;Journal of Physiotherapy&lt;/secondary-title&gt;&lt;/titles&gt;&lt;periodical&gt;&lt;full-title&gt;Journal of Physiotherapy&lt;/full-title&gt;&lt;/periodical&gt;&lt;pages&gt;177-189&lt;/pages&gt;&lt;volume&gt;67&lt;/volume&gt;&lt;number&gt;3&lt;/number&gt;&lt;dates&gt;&lt;year&gt;2021&lt;/year&gt;&lt;/dates&gt;&lt;isbn&gt;1836-9553&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(Goff et al., 2021)</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numPr>
          <w:ilvl w:val="0"/>
          <w:numId w:val="3"/>
        </w:numPr>
        <w:spacing w:line="360" w:lineRule="auto"/>
        <w:jc w:val="both"/>
        <w:rPr>
          <w:rFonts w:asciiTheme="majorBidi" w:hAnsiTheme="majorBidi" w:cstheme="majorBidi"/>
          <w:sz w:val="28"/>
          <w:szCs w:val="28"/>
        </w:rPr>
      </w:pPr>
      <w:r w:rsidRPr="00ED2437">
        <w:rPr>
          <w:rFonts w:asciiTheme="majorBidi" w:hAnsiTheme="majorBidi" w:cstheme="majorBidi"/>
          <w:b/>
          <w:bCs/>
          <w:sz w:val="28"/>
          <w:szCs w:val="28"/>
        </w:rPr>
        <w:t>Manual therapy:</w:t>
      </w:r>
      <w:r w:rsidRPr="00751669">
        <w:rPr>
          <w:rFonts w:asciiTheme="majorBidi" w:hAnsiTheme="majorBidi" w:cstheme="majorBidi"/>
          <w:sz w:val="28"/>
          <w:szCs w:val="28"/>
        </w:rPr>
        <w:t xml:space="preserve"> Manual therapy techniques like joint mobilization and soft tissue massage can help improve joint mobility and reduce pain by </w:t>
      </w:r>
      <w:r w:rsidRPr="00751669">
        <w:rPr>
          <w:rFonts w:asciiTheme="majorBidi" w:hAnsiTheme="majorBidi" w:cstheme="majorBidi"/>
          <w:sz w:val="28"/>
          <w:szCs w:val="28"/>
        </w:rPr>
        <w:lastRenderedPageBreak/>
        <w:t xml:space="preserve">releasing tension in muscles and correcting joint alignment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&lt;EndNote&gt;&lt;Cite&gt;&lt;Author&gt;Xu&lt;/Author&gt;&lt;Year&gt;2017&lt;/Year&gt;&lt;RecNum&gt;86&lt;/RecNum&gt;&lt;DisplayText&gt;(Xu et al., 2017)&lt;/DisplayText&gt;&lt;record&gt;&lt;rec-number&gt;86&lt;/rec-number&gt;&lt;foreign-keys&gt;&lt;key app="EN" db-id="9spzx9t20pvxenev0tipzdr82dazvrfef9fe" timestamp="1702464059"&gt;86&lt;/key&gt;&lt;/foreign-keys&gt;&lt;ref-type name="Journal Article"&gt;17&lt;/ref-type&gt;&lt;contributors&gt;&lt;authors&gt;&lt;author&gt;Xu, Qinguang&lt;/author&gt;&lt;author&gt;Chen, Bei&lt;/author&gt;&lt;author&gt;Wang, Yueyi&lt;/author&gt;&lt;author&gt;Wang, Xuezong&lt;/author&gt;&lt;author&gt;Han, Dapeng&lt;/author&gt;&lt;author&gt;Ding, Daofang&lt;/author&gt;&lt;author&gt;Zheng, Yuxin&lt;/author&gt;&lt;author&gt;Cao, Yuelong&lt;/author&gt;&lt;author&gt;Zhan, Hongsheng&lt;/author&gt;&lt;author&gt;Zhou, Yao&lt;/author&gt;&lt;/authors&gt;&lt;/contributors&gt;&lt;titles&gt;&lt;title&gt;The effectiveness of manual therapy for relieving pain, stiffness, and dysfunction in knee osteoarthritis: a systematic review and meta-analysis&lt;/title&gt;&lt;secondary-title&gt;Pain physician&lt;/secondary-title&gt;&lt;/titles&gt;&lt;periodical&gt;&lt;full-title&gt;Pain physician&lt;/full-title&gt;&lt;/periodical&gt;&lt;pages&gt;229&lt;/pages&gt;&lt;volume&gt;20&lt;/volume&gt;&lt;number&gt;4&lt;/number&gt;&lt;dates&gt;&lt;year&gt;2017&lt;/year&gt;&lt;/dates&gt;&lt;isbn&gt;1533-3159&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(Xu et al., 2017)</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numPr>
          <w:ilvl w:val="0"/>
          <w:numId w:val="3"/>
        </w:numPr>
        <w:spacing w:line="360" w:lineRule="auto"/>
        <w:jc w:val="both"/>
        <w:rPr>
          <w:rFonts w:asciiTheme="majorBidi" w:hAnsiTheme="majorBidi" w:cstheme="majorBidi"/>
          <w:sz w:val="28"/>
          <w:szCs w:val="28"/>
        </w:rPr>
      </w:pPr>
      <w:r w:rsidRPr="00ED2437">
        <w:rPr>
          <w:rFonts w:asciiTheme="majorBidi" w:hAnsiTheme="majorBidi" w:cstheme="majorBidi"/>
          <w:b/>
          <w:bCs/>
          <w:sz w:val="28"/>
          <w:szCs w:val="28"/>
        </w:rPr>
        <w:t>Bracing:</w:t>
      </w:r>
      <w:r w:rsidRPr="00751669">
        <w:rPr>
          <w:rFonts w:asciiTheme="majorBidi" w:hAnsiTheme="majorBidi" w:cstheme="majorBidi"/>
          <w:sz w:val="28"/>
          <w:szCs w:val="28"/>
        </w:rPr>
        <w:t xml:space="preserve"> Bracing can be used to help support the joint and promote proper biomechanical alignment. Knee braces, for example, can help reduce stress on the knee joint by shifting forces to other areas of the leg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&lt;EndNote&gt;&lt;Cite&gt;&lt;Author&gt;Duivenvoorden&lt;/Author&gt;&lt;Year&gt;2015&lt;/Year&gt;&lt;RecNum&gt;82&lt;/RecNum&gt;&lt;DisplayText&gt;(Duivenvoorden et al., 2015)&lt;/DisplayText&gt;&lt;record&gt;&lt;rec-number&gt;82&lt;/rec-number&gt;&lt;foreign-keys&gt;&lt;key app="EN" db-id="9spzx9t20pvxenev0tipzdr82dazvrfef9fe" timestamp="1702463554"&gt;82&lt;/key&gt;&lt;/foreign-keys&gt;&lt;ref-type name="Journal Article"&gt;17&lt;/ref-type&gt;&lt;contributors&gt;&lt;authors&gt;&lt;author&gt;Duivenvoorden, Tijs&lt;/author&gt;&lt;author&gt;Brouwer, Reinoud W&lt;/author&gt;&lt;author&gt;van Raaij, Tom M&lt;/author&gt;&lt;author&gt;Verhagen, Arianne P&lt;/author&gt;&lt;author&gt;Verhaar, Jan AN&lt;/author&gt;&lt;author&gt;Bierma‐Zeinstra, Sita MA&lt;/author&gt;&lt;/authors&gt;&lt;/contributors&gt;&lt;titles&gt;&lt;title&gt;Braces and orthoses for treating osteoarthritis of the knee&lt;/title&gt;&lt;secondary-title&gt;Cochrane Database of Systematic Reviews&lt;/secondary-title&gt;&lt;/titles&gt;&lt;periodical&gt;&lt;full-title&gt;Cochrane Database of Systematic Reviews&lt;/full-title&gt;&lt;/periodical&gt;&lt;number&gt;3&lt;/number&gt;&lt;dates&gt;&lt;year&gt;2015&lt;/year&gt;&lt;/dates&gt;&lt;isbn&gt;1465-1858&lt;/isbn&gt;&lt;urls&gt;&lt;/urls&gt;&lt;/record&gt;&lt;/Cite&gt;&lt;/EndNote&gt;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(Duivenvoorden et al., 2015)</w:t>
      </w:r>
      <w:r>
        <w:rPr>
          <w:rFonts w:asciiTheme="majorBidi" w:hAnsiTheme="majorBidi" w:cstheme="majorBidi"/>
          <w:sz w:val="28"/>
          <w:szCs w:val="28"/>
        </w:rPr>
        <w:fldChar w:fldCharType="end"/>
      </w:r>
      <w:r w:rsidRPr="00751669">
        <w:rPr>
          <w:rFonts w:asciiTheme="majorBidi" w:hAnsiTheme="majorBidi" w:cstheme="majorBidi"/>
          <w:sz w:val="28"/>
          <w:szCs w:val="28"/>
        </w:rPr>
        <w:t>.</w:t>
      </w:r>
    </w:p>
    <w:p w:rsidR="00C85AF5" w:rsidRPr="00751669" w:rsidRDefault="00C85AF5" w:rsidP="00C85AF5">
      <w:pPr>
        <w:spacing w:line="360" w:lineRule="auto"/>
        <w:jc w:val="both"/>
        <w:rPr>
          <w:rFonts w:asciiTheme="majorBidi" w:hAnsiTheme="majorBidi" w:cstheme="majorBidi"/>
          <w:sz w:val="28"/>
          <w:szCs w:val="28"/>
        </w:rPr>
      </w:pPr>
    </w:p>
    <w:p w:rsidR="00C85AF5" w:rsidRPr="00751669" w:rsidRDefault="00C85AF5" w:rsidP="00C85AF5">
      <w:pPr>
        <w:spacing w:line="360" w:lineRule="auto"/>
        <w:jc w:val="both"/>
        <w:rPr>
          <w:rFonts w:asciiTheme="majorBidi" w:hAnsiTheme="majorBidi" w:cstheme="majorBidi"/>
          <w:sz w:val="28"/>
          <w:szCs w:val="28"/>
        </w:rPr>
      </w:pPr>
      <w:r>
        <w:rPr>
          <w:rFonts w:asciiTheme="majorBidi" w:hAnsiTheme="majorBidi" w:cstheme="majorBidi"/>
          <w:sz w:val="28"/>
          <w:szCs w:val="28"/>
        </w:rPr>
        <w:t>B</w:t>
      </w:r>
      <w:r w:rsidRPr="00751669">
        <w:rPr>
          <w:rFonts w:asciiTheme="majorBidi" w:hAnsiTheme="majorBidi" w:cstheme="majorBidi"/>
          <w:sz w:val="28"/>
          <w:szCs w:val="28"/>
        </w:rPr>
        <w:t xml:space="preserve">iomechanical alignment is an important factor to consider in the management of osteoarthritis. Correcting abnormal movement patterns and promoting proper alignment can help reduce joint stress, improve joint function, and reduce pain. Consultation with a healthcare professional and/or physical therapist is recommended to determine the best course of treatment for individual patients with OA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&lt;EndNote&gt;&lt;Cite&gt;&lt;Author&gt;Sharma&lt;/Author&gt;&lt;Year&gt;2010&lt;/Year&gt;&lt;RecNum&gt;83&lt;/RecNum&gt;&lt;DisplayText&gt;(Sharma et al., 2010)&lt;/DisplayText&gt;&lt;record&gt;&lt;rec-number&gt;83&lt;/rec-number&gt;&lt;foreign-keys&gt;&lt;key app="EN" db-id="9spzx9t20pvxenev0tipzdr82dazvrfef9fe" timestamp="1702463638"&gt;83&lt;/key&gt;&lt;/foreign-keys&gt;&lt;ref-type name="Journal Article"&gt;17&lt;/ref-type&gt;&lt;contributors&gt;&lt;authors&gt;&lt;author&gt;Sharma, Leena&lt;/author&gt;&lt;author&gt;Song, Jing&lt;/author&gt;&lt;author&gt;Dunlop, Dorothy&lt;/author&gt;&lt;author&gt;Felson, David&lt;/author&gt;&lt;author&gt;Lewis, Cora E&lt;/author&gt;&lt;author&gt;Segal, Neil&lt;/author&gt;&lt;author&gt;Torner, James&lt;/author&gt;&lt;author&gt;Cooke, T Derek V&lt;/author&gt;&lt;author&gt;Hietpas, Jean&lt;/author&gt;&lt;author&gt;Lynch, John&lt;/author&gt;&lt;/authors&gt;&lt;/contributors&gt;&lt;titles&gt;&lt;title&gt;Varus and valgus alignment and incident and progressive knee osteoarthritis&lt;/title&gt;&lt;secondary-title&gt;Annals of the rheumatic diseases&lt;/secondary-title&gt;&lt;/titles&gt;&lt;periodical&gt;&lt;full-title&gt;Annals of the rheumatic diseases&lt;/full-title&gt;&lt;/periodical&gt;&lt;pages&gt;1940-1945&lt;/pages&gt;&lt;volume&gt;69&lt;/volume&gt;&lt;number&gt;11&lt;/number&gt;&lt;dates&gt;&lt;year&gt;2010&lt;/year&gt;&lt;/dates&gt;&lt;isbn&gt;0003-4967&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(Sharma et al., 2010)</w:t>
      </w:r>
      <w:r>
        <w:rPr>
          <w:rFonts w:asciiTheme="majorBidi" w:hAnsiTheme="majorBidi" w:cstheme="majorBidi"/>
          <w:sz w:val="28"/>
          <w:szCs w:val="28"/>
        </w:rPr>
        <w:fldChar w:fldCharType="end"/>
      </w:r>
      <w:r w:rsidRPr="00751669">
        <w:rPr>
          <w:rFonts w:asciiTheme="majorBidi" w:hAnsiTheme="majorBidi" w:cstheme="majorBidi"/>
          <w:sz w:val="28"/>
          <w:szCs w:val="28"/>
        </w:rPr>
        <w:t>.</w:t>
      </w:r>
      <w:r>
        <w:rPr>
          <w:rFonts w:asciiTheme="majorBidi" w:hAnsiTheme="majorBidi" w:cstheme="majorBidi"/>
          <w:sz w:val="28"/>
          <w:szCs w:val="28"/>
        </w:rPr>
        <w:t xml:space="preserve"> </w:t>
      </w:r>
      <w:r w:rsidRPr="00751669">
        <w:rPr>
          <w:rFonts w:asciiTheme="majorBidi" w:hAnsiTheme="majorBidi" w:cstheme="majorBidi"/>
          <w:sz w:val="28"/>
          <w:szCs w:val="28"/>
        </w:rPr>
        <w:t>Overall, the literature suggests that biomechanical alignment interven</w:t>
      </w:r>
      <w:r>
        <w:rPr>
          <w:rFonts w:asciiTheme="majorBidi" w:hAnsiTheme="majorBidi" w:cstheme="majorBidi"/>
          <w:sz w:val="28"/>
          <w:szCs w:val="28"/>
        </w:rPr>
        <w:t>tions, including</w:t>
      </w:r>
      <w:r w:rsidRPr="00751669">
        <w:rPr>
          <w:rFonts w:asciiTheme="majorBidi" w:hAnsiTheme="majorBidi" w:cstheme="majorBidi"/>
          <w:sz w:val="28"/>
          <w:szCs w:val="28"/>
        </w:rPr>
        <w:t xml:space="preserve"> footwear modifications, may be effective in managing knee osteoarthritis. These interventions may improve pain and function in patients with knee osteoarthritis. However, further research is needed to fully understand the long-term effectiveness of these interventions and to determine the optimal treatment approach for different types and stages of knee osteoarthritis.</w:t>
      </w:r>
    </w:p>
    <w:p w:rsidR="00C85AF5" w:rsidRDefault="00C85AF5" w:rsidP="00C85AF5">
      <w:pPr>
        <w:spacing w:line="360" w:lineRule="auto"/>
        <w:jc w:val="both"/>
        <w:rPr>
          <w:rFonts w:asciiTheme="majorBidi" w:hAnsiTheme="majorBidi" w:cstheme="majorBidi"/>
          <w:b/>
          <w:bCs/>
          <w:sz w:val="28"/>
          <w:szCs w:val="28"/>
        </w:rPr>
      </w:pPr>
    </w:p>
    <w:p w:rsidR="00C85AF5" w:rsidRPr="00751669" w:rsidRDefault="00C85AF5" w:rsidP="00C85AF5">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2.15. </w:t>
      </w:r>
      <w:r w:rsidRPr="00751669">
        <w:rPr>
          <w:rFonts w:asciiTheme="majorBidi" w:hAnsiTheme="majorBidi" w:cstheme="majorBidi"/>
          <w:b/>
          <w:bCs/>
          <w:sz w:val="28"/>
          <w:szCs w:val="28"/>
        </w:rPr>
        <w:t>Literature</w:t>
      </w:r>
      <w:r>
        <w:rPr>
          <w:rFonts w:asciiTheme="majorBidi" w:hAnsiTheme="majorBidi" w:cstheme="majorBidi"/>
          <w:b/>
          <w:bCs/>
          <w:sz w:val="28"/>
          <w:szCs w:val="28"/>
        </w:rPr>
        <w:t xml:space="preserve"> review</w:t>
      </w:r>
    </w:p>
    <w:p w:rsidR="00C85AF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Knee osteoarthritis (OA) is a common degenerative joint disease that affects millions of people worldwide. Biomechanical alignment interventions have been suggested as a potential approach for managing knee OA. Here is a literature review of recent studies on biomechanical alignment for knee osteoarthritis management:</w:t>
      </w:r>
    </w:p>
    <w:p w:rsidR="00C85AF5" w:rsidRDefault="00C85AF5" w:rsidP="00C85AF5">
      <w:pPr>
        <w:spacing w:line="360" w:lineRule="auto"/>
        <w:jc w:val="both"/>
        <w:rPr>
          <w:rFonts w:asciiTheme="majorBidi" w:hAnsiTheme="majorBidi" w:cstheme="majorBidi"/>
          <w:sz w:val="28"/>
          <w:szCs w:val="28"/>
        </w:rPr>
      </w:pPr>
      <w:r w:rsidRPr="000C55B3">
        <w:rPr>
          <w:rFonts w:asciiTheme="majorBidi" w:hAnsiTheme="majorBidi" w:cstheme="majorBidi"/>
          <w:sz w:val="28"/>
          <w:szCs w:val="28"/>
        </w:rPr>
        <w:lastRenderedPageBreak/>
        <w:t xml:space="preserve">study published in the Journal of Orthopaedic and Sports Physical Therapy found that a knee brace combined with an exercise program was effective in reducing pain and improving function in patients with knee osteoarthritis </w:t>
      </w:r>
      <w:r w:rsidRPr="000C55B3">
        <w:rPr>
          <w:rFonts w:asciiTheme="majorBidi" w:hAnsiTheme="majorBidi" w:cstheme="majorBidi"/>
          <w:sz w:val="28"/>
          <w:szCs w:val="28"/>
        </w:rPr>
        <w:fldChar w:fldCharType="begin"/>
      </w:r>
      <w:r w:rsidRPr="000C55B3">
        <w:rPr>
          <w:rFonts w:asciiTheme="majorBidi" w:hAnsiTheme="majorBidi" w:cstheme="majorBidi"/>
          <w:sz w:val="28"/>
          <w:szCs w:val="28"/>
        </w:rPr>
        <w:instrText xml:space="preserve"> ADDIN EN.CITE &lt;EndNote&gt;&lt;Cite&gt;&lt;Author&gt;Shakoor&lt;/Author&gt;&lt;Year&gt;2006&lt;/Year&gt;&lt;RecNum&gt;88&lt;/RecNum&gt;&lt;DisplayText&gt;(Shakoor and Block, 2006)&lt;/DisplayText&gt;&lt;record&gt;&lt;rec-number&gt;88&lt;/rec-number&gt;&lt;foreign-keys&gt;&lt;key app="EN" db-id="9spzx9t20pvxenev0tipzdr82dazvrfef9fe" timestamp="1702464678"&gt;88&lt;/key&gt;&lt;/foreign-keys&gt;&lt;ref-type name="Journal Article"&gt;17&lt;/ref-type&gt;&lt;contributors&gt;&lt;authors&gt;&lt;author&gt;Shakoor, Najia&lt;/author&gt;&lt;author&gt;Block, Joel A&lt;/author&gt;&lt;/authors&gt;&lt;/contributors&gt;&lt;titles&gt;&lt;title&gt;Walking barefoot decreases loading on the lower extremity joints in knee osteoarthritis&lt;/title&gt;&lt;secondary-title&gt;Arthritis &amp;amp; Rheumatism&lt;/secondary-title&gt;&lt;/titles&gt;&lt;periodical&gt;&lt;full-title&gt;Arthritis &amp;amp; Rheumatism&lt;/full-title&gt;&lt;/periodical&gt;&lt;pages&gt;2923-2927&lt;/pages&gt;&lt;volume&gt;54&lt;/volume&gt;&lt;number&gt;9&lt;/number&gt;&lt;dates&gt;&lt;year&gt;2006&lt;/year&gt;&lt;/dates&gt;&lt;isbn&gt;0004-3591&lt;/isbn&gt;&lt;urls&gt;&lt;/urls&gt;&lt;/record&gt;&lt;/Cite&gt;&lt;/EndNote&gt;</w:instrText>
      </w:r>
      <w:r w:rsidRPr="000C55B3">
        <w:rPr>
          <w:rFonts w:asciiTheme="majorBidi" w:hAnsiTheme="majorBidi" w:cstheme="majorBidi"/>
          <w:sz w:val="28"/>
          <w:szCs w:val="28"/>
        </w:rPr>
        <w:fldChar w:fldCharType="separate"/>
      </w:r>
      <w:r w:rsidRPr="000C55B3">
        <w:rPr>
          <w:rFonts w:asciiTheme="majorBidi" w:hAnsiTheme="majorBidi" w:cstheme="majorBidi"/>
          <w:sz w:val="28"/>
          <w:szCs w:val="28"/>
        </w:rPr>
        <w:t>(Shakoor and Block, 2006)</w:t>
      </w:r>
      <w:r w:rsidRPr="000C55B3">
        <w:rPr>
          <w:rFonts w:asciiTheme="majorBidi" w:hAnsiTheme="majorBidi" w:cstheme="majorBidi"/>
          <w:sz w:val="28"/>
          <w:szCs w:val="28"/>
        </w:rPr>
        <w:fldChar w:fldCharType="end"/>
      </w:r>
      <w:r w:rsidRPr="000C55B3">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8F6EF0">
        <w:rPr>
          <w:rFonts w:asciiTheme="majorBidi" w:hAnsiTheme="majorBidi" w:cstheme="majorBidi"/>
          <w:sz w:val="28"/>
          <w:szCs w:val="28"/>
        </w:rPr>
        <w:t>Knee osteoarthritis (OA), primarily affecting the medial compartment, involves the adduction moment around the knee—a surrogate for medial knee compression influenced by external forces and limb orientation during walking. This parameter is closely linked to OA development and progression, prompting exploration of conservative biomechanical interventions in this review. The review discusses evidence supporting interventions like barefoot walking, the use of lateral wedge insoles, and choosing thin-soled, flexible shoes to alleviate the knee adduction moment in OA patients. Strategies directly influencing gait, such as walking with an externally rotated foot ('toe-out gait'), employing a cane, lateral trunk sway, and gait retraining, are examined. Additionally, the potential impact of valgus knee braces and muscle strengthening in reducing the knee adduction moment is addressed</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&lt;EndNote&gt;&lt;Cite&gt;&lt;Author&gt;Reeves&lt;/Author&gt;&lt;Year&gt;2011&lt;/Year&gt;&lt;RecNum&gt;93&lt;/RecNum&gt;&lt;DisplayText&gt;(Reeves and Bowling, 2011)&lt;/DisplayText&gt;&lt;record&gt;&lt;rec-number&gt;93&lt;/rec-number&gt;&lt;foreign-keys&gt;&lt;key app="EN" db-id="9spzx9t20pvxenev0tipzdr82dazvrfef9fe" timestamp="1702466687"&gt;93&lt;/key&gt;&lt;/foreign-keys&gt;&lt;ref-type name="Journal Article"&gt;17&lt;/ref-type&gt;&lt;contributors&gt;&lt;authors&gt;&lt;author&gt;Reeves, Neil D&lt;/author&gt;&lt;author&gt;Bowling, Frank L&lt;/author&gt;&lt;/authors&gt;&lt;/contributors&gt;&lt;titles&gt;&lt;title&gt;Conservative biomechanical strategies for knee osteoarthritis&lt;/title&gt;&lt;secondary-title&gt;Nature Reviews Rheumatology&lt;/secondary-title&gt;&lt;/titles&gt;&lt;periodical&gt;&lt;full-title&gt;Nature Reviews Rheumatology&lt;/full-title&gt;&lt;/periodical&gt;&lt;pages&gt;113-122&lt;/pages&gt;&lt;volume&gt;7&lt;/volume&gt;&lt;number&gt;2&lt;/number&gt;&lt;dates&gt;&lt;year&gt;2011&lt;/year&gt;&lt;/dates&gt;&lt;isbn&gt;1759-4790&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(Reeves and Bowling, 2011)</w:t>
      </w:r>
      <w:r>
        <w:rPr>
          <w:rFonts w:asciiTheme="majorBidi" w:hAnsiTheme="majorBidi" w:cstheme="majorBidi"/>
          <w:sz w:val="28"/>
          <w:szCs w:val="28"/>
        </w:rPr>
        <w:fldChar w:fldCharType="end"/>
      </w:r>
      <w:r w:rsidRPr="008F6EF0">
        <w:rPr>
          <w:rFonts w:asciiTheme="majorBidi" w:hAnsiTheme="majorBidi" w:cstheme="majorBidi"/>
          <w:sz w:val="28"/>
          <w:szCs w:val="28"/>
        </w:rPr>
        <w:t>.</w:t>
      </w:r>
    </w:p>
    <w:p w:rsidR="00C85AF5" w:rsidRPr="00751669" w:rsidRDefault="00C85AF5" w:rsidP="00C85AF5">
      <w:pPr>
        <w:spacing w:line="360" w:lineRule="auto"/>
        <w:jc w:val="both"/>
        <w:rPr>
          <w:rFonts w:asciiTheme="majorBidi" w:hAnsiTheme="majorBidi" w:cstheme="majorBidi"/>
          <w:sz w:val="28"/>
          <w:szCs w:val="28"/>
        </w:rPr>
      </w:pPr>
      <w:r w:rsidRPr="008F6EF0">
        <w:rPr>
          <w:rFonts w:asciiTheme="majorBidi" w:hAnsiTheme="majorBidi" w:cstheme="majorBidi"/>
          <w:sz w:val="28"/>
          <w:szCs w:val="28"/>
        </w:rPr>
        <w:t xml:space="preserve">This study compared the effects of unloader knee orthoses and laterally wedged insoles on gait parameters and pain in patients with medial compartment knee osteoarthritis (OA). In a quasi-experimental design, 24 subjects (mean age 59.29 ± 2.23 years) were randomly assigned to either intervention. Assessments at baseline and after six weeks, using a visual analog scale for pain and gait analysis, showed significant improvements in all parameters for both interventions compared to the baseline (p = 0.000). However, no significant differences were observed in pain (p = 0.649), adduction moment (p = 0.205), walking speed (p = 0.056), or step length (p = 0.687) between the two interventions. A notable difference was found in knee range of motion (p = 0.000). In conclusion, both interventions effectively alleviated knee pain and </w:t>
      </w:r>
      <w:r w:rsidRPr="008F6EF0">
        <w:rPr>
          <w:rFonts w:asciiTheme="majorBidi" w:hAnsiTheme="majorBidi" w:cstheme="majorBidi"/>
          <w:sz w:val="28"/>
          <w:szCs w:val="28"/>
        </w:rPr>
        <w:lastRenderedPageBreak/>
        <w:t>improved gait parameters in medial compartment knee OA, with a slight 3-degree reduction in maximum knee range of motion when using the knee orthosis</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&lt;EndNote&gt;&lt;Cite&gt;&lt;Author&gt;Arazpour&lt;/Author&gt;&lt;Year&gt;2013&lt;/Year&gt;&lt;RecNum&gt;91&lt;/RecNum&gt;&lt;DisplayText&gt;(Arazpour et al., 2013)&lt;/DisplayText&gt;&lt;record&gt;&lt;rec-number&gt;91&lt;/rec-number&gt;&lt;foreign-keys&gt;&lt;key app="EN" db-id="9spzx9t20pvxenev0tipzdr82dazvrfef9fe" timestamp="1702466440"&gt;91&lt;/key&gt;&lt;/foreign-keys&gt;&lt;ref-type name="Journal Article"&gt;17&lt;/ref-type&gt;&lt;contributors&gt;&lt;authors&gt;&lt;author&gt;Arazpour, Mokhtar&lt;/author&gt;&lt;author&gt;Bani, Monireh Ahmadi&lt;/author&gt;&lt;author&gt;Maleki, Maryam&lt;/author&gt;&lt;author&gt;Ghomshe, Farhad Tabatabai&lt;/author&gt;&lt;author&gt;Kashani, Reza Vahab&lt;/author&gt;&lt;author&gt;Hutchins, Stephen W&lt;/author&gt;&lt;/authors&gt;&lt;/contributors&gt;&lt;titles&gt;&lt;title&gt;Comparison of the efficacy of laterally wedged insoles and bespoke unloader knee orthoses in treating medial compartment knee osteoarthritis&lt;/title&gt;&lt;secondary-title&gt;Prosthetics and orthotics international&lt;/secondary-title&gt;&lt;/titles&gt;&lt;periodical&gt;&lt;full-title&gt;Prosthetics and orthotics international&lt;/full-title&gt;&lt;/periodical&gt;&lt;pages&gt;50-57&lt;/pages&gt;&lt;volume&gt;37&lt;/volume&gt;&lt;number&gt;1&lt;/number&gt;&lt;dates&gt;&lt;year&gt;2013&lt;/year&gt;&lt;/dates&gt;&lt;isbn&gt;0309-3646&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(Arazpour et al., 2013)</w:t>
      </w:r>
      <w:r>
        <w:rPr>
          <w:rFonts w:asciiTheme="majorBidi" w:hAnsiTheme="majorBidi" w:cstheme="majorBidi"/>
          <w:sz w:val="28"/>
          <w:szCs w:val="28"/>
        </w:rPr>
        <w:fldChar w:fldCharType="end"/>
      </w:r>
      <w:r w:rsidRPr="008F6EF0">
        <w:rPr>
          <w:rFonts w:asciiTheme="majorBidi" w:hAnsiTheme="majorBidi" w:cstheme="majorBidi"/>
          <w:sz w:val="28"/>
          <w:szCs w:val="28"/>
        </w:rPr>
        <w:t>.</w:t>
      </w:r>
    </w:p>
    <w:p w:rsidR="00C85AF5" w:rsidRPr="00D9253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A systematic review and meta-analysis published in the journal Osteoarthritis and Cartilage evaluated the effectiveness of biomechanical alignment interventions in patients with knee osteoarthritis. The review found that biomechanical interventions, including orthotics, braces, and shoe modifications, were effective in improving pain and function in patients with knee osteoarthritis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&lt;EndNote&gt;&lt;Cite&gt;&lt;Author&gt;Collins&lt;/Author&gt;&lt;Year&gt;2013&lt;/Year&gt;&lt;RecNum&gt;87&lt;/RecNum&gt;&lt;DisplayText&gt;(Collins et al., 2013)&lt;/DisplayText&gt;&lt;record&gt;&lt;rec-number&gt;87&lt;/rec-number&gt;&lt;foreign-keys&gt;&lt;key app="EN" db-id="9spzx9t20pvxenev0tipzdr82dazvrfef9fe" timestamp="1702464539"&gt;87&lt;/key&gt;&lt;/foreign-keys&gt;&lt;ref-type name="Journal Article"&gt;17&lt;/ref-type&gt;&lt;contributors&gt;&lt;authors&gt;&lt;author&gt;Collins, Natalie J&lt;/author&gt;&lt;author&gt;Bierma-Zeinstra, Sita MA&lt;/author&gt;&lt;author&gt;Crossley, Kay M&lt;/author&gt;&lt;author&gt;van Linschoten, Robbart L&lt;/author&gt;&lt;author&gt;Vicenzino, Bill&lt;/author&gt;&lt;author&gt;van Middelkoop, Marienke&lt;/author&gt;&lt;/authors&gt;&lt;/contributors&gt;&lt;titles&gt;&lt;title&gt;Prognostic factors for patellofemoral pain: a multicentre observational analysis&lt;/title&gt;&lt;secondary-title&gt;British journal of sports medicine&lt;/secondary-title&gt;&lt;/titles&gt;&lt;periodical&gt;&lt;full-title&gt;British journal of sports medicine&lt;/full-title&gt;&lt;/periodical&gt;&lt;pages&gt;227-233&lt;/pages&gt;&lt;volume&gt;47&lt;/volume&gt;&lt;number&gt;4&lt;/number&gt;&lt;dates&gt;&lt;year&gt;2013&lt;/year&gt;&lt;/dates&gt;&lt;isbn&gt;0306-3674&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(Collins et al., 2013)</w:t>
      </w:r>
      <w:r>
        <w:rPr>
          <w:rFonts w:asciiTheme="majorBidi" w:hAnsiTheme="majorBidi" w:cstheme="majorBidi"/>
          <w:sz w:val="28"/>
          <w:szCs w:val="28"/>
        </w:rPr>
        <w:fldChar w:fldCharType="end"/>
      </w:r>
      <w:r w:rsidRPr="00751669">
        <w:rPr>
          <w:rFonts w:asciiTheme="majorBidi" w:hAnsiTheme="majorBidi" w:cstheme="majorBidi"/>
          <w:sz w:val="28"/>
          <w:szCs w:val="28"/>
        </w:rPr>
        <w:t xml:space="preserve">. </w:t>
      </w:r>
    </w:p>
    <w:p w:rsidR="00C85AF5" w:rsidRDefault="00C85AF5" w:rsidP="00C85AF5">
      <w:pPr>
        <w:spacing w:line="360" w:lineRule="auto"/>
        <w:jc w:val="both"/>
        <w:rPr>
          <w:rFonts w:asciiTheme="majorBidi" w:hAnsiTheme="majorBidi" w:cstheme="majorBidi"/>
          <w:sz w:val="28"/>
          <w:szCs w:val="28"/>
        </w:rPr>
      </w:pPr>
      <w:r w:rsidRPr="00D92535">
        <w:rPr>
          <w:rFonts w:asciiTheme="majorBidi" w:hAnsiTheme="majorBidi" w:cstheme="majorBidi"/>
          <w:sz w:val="28"/>
          <w:szCs w:val="28"/>
        </w:rPr>
        <w:t xml:space="preserve">study published in the journal Osteoarthritis and Cartilage found that a 3-degree wedge was the most effective in reducing the knee adduction moment, which is associated with knee OA progression </w:t>
      </w:r>
      <w:r w:rsidRPr="00D92535">
        <w:rPr>
          <w:rFonts w:asciiTheme="majorBidi" w:hAnsiTheme="majorBidi" w:cstheme="majorBidi"/>
          <w:sz w:val="28"/>
          <w:szCs w:val="28"/>
        </w:rPr>
        <w:fldChar w:fldCharType="begin"/>
      </w:r>
      <w:r w:rsidRPr="00D92535">
        <w:rPr>
          <w:rFonts w:asciiTheme="majorBidi" w:hAnsiTheme="majorBidi" w:cstheme="majorBidi"/>
          <w:sz w:val="28"/>
          <w:szCs w:val="28"/>
        </w:rPr>
        <w:instrText xml:space="preserve"> ADDIN EN.CITE &lt;EndNote&gt;&lt;Cite&gt;&lt;Author&gt;Parkes&lt;/Author&gt;&lt;Year&gt;2013&lt;/Year&gt;&lt;RecNum&gt;90&lt;/RecNum&gt;&lt;DisplayText&gt;(Parkes et al., 2013)&lt;/DisplayText&gt;&lt;record&gt;&lt;rec-number&gt;90&lt;/rec-number&gt;&lt;foreign-keys&gt;&lt;key app="EN" db-id="9spzx9t20pvxenev0tipzdr82dazvrfef9fe" timestamp="1702465367"&gt;90&lt;/key&gt;&lt;/foreign-keys&gt;&lt;ref-type name="Journal Article"&gt;17&lt;/ref-type&gt;&lt;contributors&gt;&lt;authors&gt;&lt;author&gt;Parkes, Matthew J&lt;/author&gt;&lt;author&gt;Maricar, Nasimah&lt;/author&gt;&lt;author&gt;Lunt, Mark&lt;/author&gt;&lt;author&gt;LaValley, Michael P&lt;/author&gt;&lt;author&gt;Jones, Richard K&lt;/author&gt;&lt;author&gt;Segal, Neil A&lt;/author&gt;&lt;author&gt;Takahashi-Narita, Kayoko&lt;/author&gt;&lt;author&gt;Felson, David T&lt;/author&gt;&lt;/authors&gt;&lt;/contributors&gt;&lt;titles&gt;&lt;title&gt;Lateral wedge insoles as a conservative treatment for pain in patients with medial knee osteoarthritis: a meta-analysis&lt;/title&gt;&lt;secondary-title&gt;Jama&lt;/secondary-title&gt;&lt;/titles&gt;&lt;periodical&gt;&lt;full-title&gt;Jama&lt;/full-title&gt;&lt;/periodical&gt;&lt;pages&gt;722-730&lt;/pages&gt;&lt;volume&gt;310&lt;/volume&gt;&lt;number&gt;7&lt;/number&gt;&lt;dates&gt;&lt;year&gt;2013&lt;/year&gt;&lt;/dates&gt;&lt;isbn&gt;0098-7484&lt;/isbn&gt;&lt;urls&gt;&lt;/urls&gt;&lt;/record&gt;&lt;/Cite&gt;&lt;/EndNote&gt;</w:instrText>
      </w:r>
      <w:r w:rsidRPr="00D92535">
        <w:rPr>
          <w:rFonts w:asciiTheme="majorBidi" w:hAnsiTheme="majorBidi" w:cstheme="majorBidi"/>
          <w:sz w:val="28"/>
          <w:szCs w:val="28"/>
        </w:rPr>
        <w:fldChar w:fldCharType="separate"/>
      </w:r>
      <w:r w:rsidRPr="00D92535">
        <w:rPr>
          <w:rFonts w:asciiTheme="majorBidi" w:hAnsiTheme="majorBidi" w:cstheme="majorBidi"/>
          <w:sz w:val="28"/>
          <w:szCs w:val="28"/>
        </w:rPr>
        <w:t>(Parkes et al., 2013)</w:t>
      </w:r>
      <w:r w:rsidRPr="00D92535">
        <w:rPr>
          <w:rFonts w:asciiTheme="majorBidi" w:hAnsiTheme="majorBidi" w:cstheme="majorBidi"/>
          <w:sz w:val="28"/>
          <w:szCs w:val="28"/>
        </w:rPr>
        <w:fldChar w:fldCharType="end"/>
      </w:r>
      <w:r w:rsidRPr="00D92535">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5F5CD4">
        <w:rPr>
          <w:rFonts w:asciiTheme="majorBidi" w:hAnsiTheme="majorBidi" w:cstheme="majorBidi"/>
          <w:sz w:val="28"/>
          <w:szCs w:val="28"/>
        </w:rPr>
        <w:t>This study aimed to assess the effectiveness of lateral-wedge insoles in reducing pain and improving function in patients with medial knee osteoarthritis. A systematic search of three databases identified ten studies, encompassing 938 patients. The overall analysis did not reveal significant improvements in knee pain (SMD = −0.21) or knee function (SMD = 0.22) with lateral-wedge insoles compared to controls. Subgroup analysis by research area indicated a positive outcome for Asian patients in pain reduction (SMD = −0.88). However, there was no significant improvement observed in patients from the USA and other regions. Sensitivity analysis and the absence of publication bias supported the overall findings. In conclusion, while lateral-wedge insoles may be beneficial for young Asian patients within normal BMI, the current data suggests their overall ineffectiveness in alleviating knee pain and improving function</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&lt;EndNote&gt;&lt;Cite&gt;&lt;Author&gt;Zhang&lt;/Author&gt;&lt;Year&gt;2018&lt;/Year&gt;&lt;RecNum&gt;96&lt;/RecNum&gt;&lt;DisplayText&gt;(Zhang et al., 2018)&lt;/DisplayText&gt;&lt;record&gt;&lt;rec-number&gt;96&lt;/rec-number&gt;&lt;foreign-keys&gt;&lt;key app="EN" db-id="9spzx9t20pvxenev0tipzdr82dazvrfef9fe" timestamp="1702467623"&gt;96&lt;/key&gt;&lt;/foreign-keys&gt;&lt;ref-type name="Journal Article"&gt;17&lt;/ref-type&gt;&lt;contributors&gt;&lt;authors&gt;&lt;author&gt;Zhang, Junfeng&lt;/author&gt;&lt;author&gt;Wang, Qin&lt;/author&gt;&lt;author&gt;Zhang, Cuiming&lt;/author&gt;&lt;/authors&gt;&lt;/contributors&gt;&lt;titles&gt;&lt;title&gt;Ineffectiveness of lateral-wedge insoles on the improvement of pain and function for medial knee osteoarthritis: a meta-analysis of controlled randomized trials&lt;/title&gt;&lt;secondary-title&gt;Archives of orthopaedic and trauma surgery&lt;/secondary-title&gt;&lt;/titles&gt;&lt;periodical&gt;&lt;full-title&gt;Archives of orthopaedic and trauma surgery&lt;/full-title&gt;&lt;/periodical&gt;&lt;pages&gt;1453-1462&lt;/pages&gt;&lt;volume&gt;138&lt;/volume&gt;&lt;dates&gt;&lt;year&gt;2018&lt;/year&gt;&lt;/dates&gt;&lt;isbn&gt;0936-8051&lt;/isbn&gt;&lt;urls&gt;&lt;/urls&gt;&lt;/record&gt;&lt;/Cite&gt;&lt;/EndNote&gt;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(Zhang et al., 2018)</w:t>
      </w:r>
      <w:r>
        <w:rPr>
          <w:rFonts w:asciiTheme="majorBidi" w:hAnsiTheme="majorBidi" w:cstheme="majorBidi"/>
          <w:sz w:val="28"/>
          <w:szCs w:val="28"/>
        </w:rPr>
        <w:fldChar w:fldCharType="end"/>
      </w:r>
      <w:r w:rsidRPr="005F5CD4">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072894">
        <w:rPr>
          <w:rFonts w:asciiTheme="majorBidi" w:hAnsiTheme="majorBidi" w:cstheme="majorBidi"/>
          <w:sz w:val="28"/>
          <w:szCs w:val="28"/>
        </w:rPr>
        <w:t xml:space="preserve">This randomized clinical trial conducted at a Swiss university hospital involved 220 participants with symptomatic knee osteoarthritis to assess the effects of biomechanical footwear therapy compared to control footwear over 24 weeks. </w:t>
      </w:r>
      <w:r w:rsidRPr="00072894">
        <w:rPr>
          <w:rFonts w:asciiTheme="majorBidi" w:hAnsiTheme="majorBidi" w:cstheme="majorBidi"/>
          <w:sz w:val="28"/>
          <w:szCs w:val="28"/>
        </w:rPr>
        <w:lastRenderedPageBreak/>
        <w:t>The participants were randomized into two groups: one receiving biomechanical footwear with individually adjustable external convex pods, and the other receiving control footwear with non-adjustable visible outsole pods. The primary outcome, knee pain at 24 weeks measured by the WOMAC pain subscore, showed a statistically significant improvement in the biomechanical footwear group compared to the control group. Secondary outcomes, including WOMAC physical function, stiffness subscores, and global score, also favored the biomechanical footwear group. The incidence of serious adverse events was lower in the biomechanical footwear group. While the improvement in pain was statistically significant, its clinical relevance remains uncertain, highlighting the need for further research to determine the long-term efficacy and safety of biomechanical footwear therapy</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&lt;EndNote&gt;&lt;Cite&gt;&lt;Author&gt;Reichenbach&lt;/Author&gt;&lt;Year&gt;2020&lt;/Year&gt;&lt;RecNum&gt;95&lt;/RecNum&gt;&lt;DisplayText&gt;(Reichenbach et al., 2020)&lt;/DisplayText&gt;&lt;record&gt;&lt;rec-number&gt;95&lt;/rec-number&gt;&lt;foreign-keys&gt;&lt;key app="EN" db-id="9spzx9t20pvxenev0tipzdr82dazvrfef9fe" timestamp="1702467043"&gt;95&lt;/key&gt;&lt;/foreign-keys&gt;&lt;ref-type name="Journal Article"&gt;17&lt;/ref-type&gt;&lt;contributors&gt;&lt;authors&gt;&lt;author&gt;Reichenbach, Stephan&lt;/author&gt;&lt;author&gt;Felson, David T&lt;/author&gt;&lt;author&gt;Hincapié, Cesar A&lt;/author&gt;&lt;author&gt;Heldner, Sarah&lt;/author&gt;&lt;author&gt;Bütikofer, Lukas&lt;/author&gt;&lt;author&gt;Lenz, Armando&lt;/author&gt;&lt;author&gt;Da Costa, Bruno R&lt;/author&gt;&lt;author&gt;Bonel, Harald M&lt;/author&gt;&lt;author&gt;Jones, Richard K&lt;/author&gt;&lt;author&gt;Hawker, Gillian A&lt;/author&gt;&lt;/authors&gt;&lt;/contributors&gt;&lt;titles&gt;&lt;title&gt;Effect of biomechanical footwear on knee pain in people with knee osteoarthritis: the BIOTOK randomized clinical trial&lt;/title&gt;&lt;secondary-title&gt;Jama&lt;/secondary-title&gt;&lt;/titles&gt;&lt;periodical&gt;&lt;full-title&gt;Jama&lt;/full-title&gt;&lt;/periodical&gt;&lt;pages&gt;1802-1812&lt;/pages&gt;&lt;volume&gt;323&lt;/volume&gt;&lt;number&gt;18&lt;/number&gt;&lt;dates&gt;&lt;year&gt;2020&lt;/year&gt;&lt;/dates&gt;&lt;isbn&gt;0098-7484&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(Reichenbach et al., 2020)</w:t>
      </w:r>
      <w:r>
        <w:rPr>
          <w:rFonts w:asciiTheme="majorBidi" w:hAnsiTheme="majorBidi" w:cstheme="majorBidi"/>
          <w:sz w:val="28"/>
          <w:szCs w:val="28"/>
        </w:rPr>
        <w:fldChar w:fldCharType="end"/>
      </w:r>
      <w:r w:rsidRPr="00072894">
        <w:rPr>
          <w:rFonts w:asciiTheme="majorBidi" w:hAnsiTheme="majorBidi" w:cstheme="majorBidi"/>
          <w:sz w:val="28"/>
          <w:szCs w:val="28"/>
        </w:rPr>
        <w:t>.</w:t>
      </w:r>
    </w:p>
    <w:p w:rsidR="00C85AF5"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 xml:space="preserve">A randomized controlled trial published in the Annals of Internal Medicine evaluated the effectiveness of footwear modifications in patients with knee osteoarthritis. The study found that patients who wore customized footwear had significant improvements in pain and function compared to those who wore standard footwear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&lt;EndNote&gt;&lt;Cite&gt;&lt;Author&gt;Reichenbach&lt;/Author&gt;&lt;Year&gt;2020&lt;/Year&gt;&lt;RecNum&gt;89&lt;/RecNum&gt;&lt;DisplayText&gt;(Reichenbach et al., 2020)&lt;/DisplayText&gt;&lt;record&gt;&lt;rec-number&gt;89&lt;/rec-number&gt;&lt;foreign-keys&gt;&lt;key app="EN" db-id="9spzx9t20pvxenev0tipzdr82dazvrfef9fe" timestamp="1702464952"&gt;89&lt;/key&gt;&lt;/foreign-keys&gt;&lt;ref-type name="Journal Article"&gt;17&lt;/ref-type&gt;&lt;contributors&gt;&lt;authors&gt;&lt;author&gt;Reichenbach, Stephan&lt;/author&gt;&lt;author&gt;Felson, David T&lt;/author&gt;&lt;author&gt;Hincapié, Cesar A&lt;/author&gt;&lt;author&gt;Heldner, Sarah&lt;/author&gt;&lt;author&gt;Bütikofer, Lukas&lt;/author&gt;&lt;author&gt;Lenz, Armando&lt;/author&gt;&lt;author&gt;Da Costa, Bruno R&lt;/author&gt;&lt;author&gt;Bonel, Harald M&lt;/author&gt;&lt;author&gt;Jones, Richard K&lt;/author&gt;&lt;author&gt;Hawker, Gillian A&lt;/author&gt;&lt;/authors&gt;&lt;/contributors&gt;&lt;titles&gt;&lt;title&gt;Effect of biomechanical footwear on knee pain in people with knee osteoarthritis: the BIOTOK randomized clinical trial&lt;/title&gt;&lt;secondary-title&gt;Jama&lt;/secondary-title&gt;&lt;/titles&gt;&lt;periodical&gt;&lt;full-title&gt;Jama&lt;/full-title&gt;&lt;/periodical&gt;&lt;pages&gt;1802-1812&lt;/pages&gt;&lt;volume&gt;323&lt;/volume&gt;&lt;number&gt;18&lt;/number&gt;&lt;dates&gt;&lt;year&gt;2020&lt;/year&gt;&lt;/dates&gt;&lt;isbn&gt;0098-7484&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(Reichenbach et al., 2020)</w:t>
      </w:r>
      <w:r>
        <w:rPr>
          <w:rFonts w:asciiTheme="majorBidi" w:hAnsiTheme="majorBidi" w:cstheme="majorBidi"/>
          <w:sz w:val="28"/>
          <w:szCs w:val="28"/>
        </w:rPr>
        <w:fldChar w:fldCharType="end"/>
      </w:r>
      <w:r w:rsidRPr="00751669">
        <w:rPr>
          <w:rFonts w:asciiTheme="majorBidi" w:hAnsiTheme="majorBidi" w:cstheme="majorBidi"/>
          <w:sz w:val="28"/>
          <w:szCs w:val="28"/>
        </w:rPr>
        <w:t xml:space="preserve">. </w:t>
      </w:r>
    </w:p>
    <w:p w:rsidR="00C85AF5" w:rsidRPr="00751669" w:rsidRDefault="00C85AF5" w:rsidP="00C85AF5">
      <w:pPr>
        <w:spacing w:line="360" w:lineRule="auto"/>
        <w:jc w:val="both"/>
        <w:rPr>
          <w:rFonts w:asciiTheme="majorBidi" w:hAnsiTheme="majorBidi" w:cstheme="majorBidi"/>
          <w:sz w:val="28"/>
          <w:szCs w:val="28"/>
        </w:rPr>
      </w:pPr>
      <w:r w:rsidRPr="00072894">
        <w:rPr>
          <w:rFonts w:asciiTheme="majorBidi" w:hAnsiTheme="majorBidi" w:cstheme="majorBidi"/>
          <w:sz w:val="28"/>
          <w:szCs w:val="28"/>
        </w:rPr>
        <w:t xml:space="preserve">In this randomized trial involving 164 participants with moderate to severe symptomatic radiographic medial knee osteoarthritis, the objective was to compare the effectiveness of flat flexible shoes versus stable supportive shoes. Participants wore their assigned shoes for at least 6 hours a day for 6 months. The primary outcomes, changes in walking pain and physical function at 6 months, showed no evidence that flat flexible shoes were superior. While there was a between-group difference favoring stable supportive shoes in pain improvement, no significant difference was observed in function. Additionally, stable supportive shoes were associated with better knee-related quality of life and less ipsilateral hip pain. Adverse events were reported less frequently with stable supportive shoes. The study concludes that flat flexible shoes did not </w:t>
      </w:r>
      <w:r w:rsidRPr="00072894">
        <w:rPr>
          <w:rFonts w:asciiTheme="majorBidi" w:hAnsiTheme="majorBidi" w:cstheme="majorBidi"/>
          <w:sz w:val="28"/>
          <w:szCs w:val="28"/>
        </w:rPr>
        <w:lastRenderedPageBreak/>
        <w:t>outperform stable supportive shoes, contrary to the hypothesis, and that stable supportive shoes demonstrated better improvement in knee pain during walking. The limitations include the absence of a "usual shoes" control group and the study's applicability to a select patient subgroup</w:t>
      </w:r>
      <w:r>
        <w:rPr>
          <w:rFonts w:asciiTheme="majorBidi" w:hAnsiTheme="majorBidi" w:cstheme="majorBidi"/>
          <w:sz w:val="28"/>
          <w:szCs w:val="28"/>
        </w:rPr>
        <w:t xml:space="preserve"> </w:t>
      </w:r>
      <w:r>
        <w:rPr>
          <w:rFonts w:asciiTheme="majorBidi" w:hAnsiTheme="majorBidi" w:cstheme="majorBidi"/>
          <w:sz w:val="28"/>
          <w:szCs w:val="28"/>
        </w:rPr>
        <w:fldChar w:fldCharType="begin"/>
      </w:r>
      <w:r>
        <w:rPr>
          <w:rFonts w:asciiTheme="majorBidi" w:hAnsiTheme="majorBidi" w:cstheme="majorBidi"/>
          <w:sz w:val="28"/>
          <w:szCs w:val="28"/>
        </w:rPr>
        <w:instrText xml:space="preserve"> ADDIN EN.CITE &lt;EndNote&gt;&lt;Cite&gt;&lt;Author&gt;Paterson&lt;/Author&gt;&lt;Year&gt;2021&lt;/Year&gt;&lt;RecNum&gt;94&lt;/RecNum&gt;&lt;DisplayText&gt;(Paterson et al., 2021)&lt;/DisplayText&gt;&lt;record&gt;&lt;rec-number&gt;94&lt;/rec-number&gt;&lt;foreign-keys&gt;&lt;key app="EN" db-id="9spzx9t20pvxenev0tipzdr82dazvrfef9fe" timestamp="1702466918"&gt;94&lt;/key&gt;&lt;/foreign-keys&gt;&lt;ref-type name="Journal Article"&gt;17&lt;/ref-type&gt;&lt;contributors&gt;&lt;authors&gt;&lt;author&gt;Paterson, Kade L&lt;/author&gt;&lt;author&gt;Bennell, Kim L&lt;/author&gt;&lt;author&gt;Campbell, Penny K&lt;/author&gt;&lt;author&gt;Metcalf, Ben R&lt;/author&gt;&lt;author&gt;Wrigley, Tim V&lt;/author&gt;&lt;author&gt;Kasza, Jessica&lt;/author&gt;&lt;author&gt;Hinman, Rana S&lt;/author&gt;&lt;/authors&gt;&lt;/contributors&gt;&lt;titles&gt;&lt;title&gt;The effect of flat flexible versus stable supportive shoes on knee osteoarthritis symptoms: a randomized trial&lt;/title&gt;&lt;secondary-title&gt;Annals of Internal Medicine&lt;/secondary-title&gt;&lt;/titles&gt;&lt;periodical&gt;&lt;full-title&gt;Annals of internal medicine&lt;/full-title&gt;&lt;/periodical&gt;&lt;pages&gt;462-471&lt;/pages&gt;&lt;volume&gt;174&lt;/volume&gt;&lt;number&gt;4&lt;/number&gt;&lt;dates&gt;&lt;year&gt;2021&lt;/year&gt;&lt;/dates&gt;&lt;isbn&gt;0003-4819&lt;/isbn&gt;&lt;urls&gt;&lt;/urls&gt;&lt;/record&gt;&lt;/Cite&gt;&lt;/EndNote&gt;</w:instrText>
      </w:r>
      <w:r>
        <w:rPr>
          <w:rFonts w:asciiTheme="majorBidi" w:hAnsiTheme="majorBidi" w:cstheme="majorBidi"/>
          <w:sz w:val="28"/>
          <w:szCs w:val="28"/>
        </w:rPr>
        <w:fldChar w:fldCharType="separate"/>
      </w:r>
      <w:r>
        <w:rPr>
          <w:rFonts w:asciiTheme="majorBidi" w:hAnsiTheme="majorBidi" w:cstheme="majorBidi"/>
          <w:noProof/>
          <w:sz w:val="28"/>
          <w:szCs w:val="28"/>
        </w:rPr>
        <w:t>(Paterson et al., 2021)</w:t>
      </w:r>
      <w:r>
        <w:rPr>
          <w:rFonts w:asciiTheme="majorBidi" w:hAnsiTheme="majorBidi" w:cstheme="majorBidi"/>
          <w:sz w:val="28"/>
          <w:szCs w:val="28"/>
        </w:rPr>
        <w:fldChar w:fldCharType="end"/>
      </w:r>
      <w:r w:rsidRPr="00072894">
        <w:rPr>
          <w:rFonts w:asciiTheme="majorBidi" w:hAnsiTheme="majorBidi" w:cstheme="majorBidi"/>
          <w:sz w:val="28"/>
          <w:szCs w:val="28"/>
        </w:rPr>
        <w:t>.</w:t>
      </w:r>
    </w:p>
    <w:p w:rsidR="00C85AF5" w:rsidRPr="00751669" w:rsidRDefault="00C85AF5" w:rsidP="00C85AF5">
      <w:pPr>
        <w:spacing w:line="360" w:lineRule="auto"/>
        <w:jc w:val="both"/>
        <w:rPr>
          <w:rFonts w:asciiTheme="majorBidi" w:hAnsiTheme="majorBidi" w:cstheme="majorBidi"/>
          <w:sz w:val="28"/>
          <w:szCs w:val="28"/>
        </w:rPr>
      </w:pPr>
      <w:r w:rsidRPr="00751669">
        <w:rPr>
          <w:rFonts w:asciiTheme="majorBidi" w:hAnsiTheme="majorBidi" w:cstheme="majorBidi"/>
          <w:sz w:val="28"/>
          <w:szCs w:val="28"/>
        </w:rPr>
        <w:t>Overall, the literature suggests that biomechanical alignment interventions, including knee braces and footwear modifications, may be effective in managing knee osteoarthritis. These interventions may improve pain and function in patients with knee osteoarthritis. However, further research is needed to fully understand the long-term effectiveness of these interventions and to determine the optimal treatment approach for different types and stages of knee osteoarthritis.</w:t>
      </w:r>
    </w:p>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Pr="00C85AF5" w:rsidRDefault="00C85AF5" w:rsidP="00C85AF5">
      <w:pPr>
        <w:widowControl w:val="0"/>
        <w:numPr>
          <w:ilvl w:val="0"/>
          <w:numId w:val="7"/>
        </w:numPr>
        <w:tabs>
          <w:tab w:val="left" w:pos="4133"/>
        </w:tabs>
        <w:autoSpaceDE w:val="0"/>
        <w:autoSpaceDN w:val="0"/>
        <w:spacing w:before="60" w:after="0" w:line="240" w:lineRule="auto"/>
        <w:ind w:left="4133" w:hanging="279"/>
        <w:jc w:val="both"/>
        <w:outlineLvl w:val="0"/>
        <w:rPr>
          <w:rFonts w:ascii="Times New Roman" w:eastAsia="Times New Roman" w:hAnsi="Times New Roman" w:cs="Times New Roman"/>
          <w:b/>
          <w:bCs/>
          <w:sz w:val="28"/>
          <w:szCs w:val="28"/>
        </w:rPr>
      </w:pPr>
      <w:r w:rsidRPr="00C85AF5">
        <w:rPr>
          <w:rFonts w:ascii="Times New Roman" w:eastAsia="Times New Roman" w:hAnsi="Times New Roman" w:cs="Times New Roman"/>
          <w:b/>
          <w:bCs/>
          <w:spacing w:val="-2"/>
          <w:sz w:val="28"/>
          <w:szCs w:val="28"/>
        </w:rPr>
        <w:lastRenderedPageBreak/>
        <w:t>Methodology</w:t>
      </w: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b/>
          <w:sz w:val="28"/>
          <w:szCs w:val="28"/>
        </w:rPr>
      </w:pPr>
    </w:p>
    <w:p w:rsidR="00C85AF5" w:rsidRPr="00C85AF5" w:rsidRDefault="00C85AF5" w:rsidP="00C85AF5">
      <w:pPr>
        <w:widowControl w:val="0"/>
        <w:autoSpaceDE w:val="0"/>
        <w:autoSpaceDN w:val="0"/>
        <w:spacing w:before="321" w:after="0" w:line="240" w:lineRule="auto"/>
        <w:jc w:val="both"/>
        <w:rPr>
          <w:rFonts w:ascii="Times New Roman" w:eastAsia="Times New Roman" w:hAnsi="Times New Roman" w:cs="Times New Roman"/>
          <w:b/>
          <w:sz w:val="28"/>
          <w:szCs w:val="28"/>
        </w:rPr>
      </w:pPr>
    </w:p>
    <w:p w:rsidR="00C85AF5" w:rsidRPr="00C85AF5" w:rsidRDefault="00C85AF5" w:rsidP="00C85AF5">
      <w:pPr>
        <w:widowControl w:val="0"/>
        <w:numPr>
          <w:ilvl w:val="1"/>
          <w:numId w:val="7"/>
        </w:numPr>
        <w:tabs>
          <w:tab w:val="left" w:pos="590"/>
        </w:tabs>
        <w:autoSpaceDE w:val="0"/>
        <w:autoSpaceDN w:val="0"/>
        <w:spacing w:after="0" w:line="240" w:lineRule="auto"/>
        <w:ind w:left="590" w:hanging="490"/>
        <w:jc w:val="both"/>
        <w:rPr>
          <w:rFonts w:ascii="Times New Roman" w:eastAsia="Times New Roman" w:hAnsi="Times New Roman" w:cs="Times New Roman"/>
          <w:b/>
          <w:sz w:val="28"/>
        </w:rPr>
      </w:pPr>
      <w:r w:rsidRPr="00C85AF5">
        <w:rPr>
          <w:rFonts w:ascii="Times New Roman" w:eastAsia="Times New Roman" w:hAnsi="Times New Roman" w:cs="Times New Roman"/>
          <w:b/>
          <w:sz w:val="28"/>
        </w:rPr>
        <w:t>Methodology</w:t>
      </w:r>
      <w:r w:rsidRPr="00C85AF5">
        <w:rPr>
          <w:rFonts w:ascii="Times New Roman" w:eastAsia="Times New Roman" w:hAnsi="Times New Roman" w:cs="Times New Roman"/>
          <w:b/>
          <w:spacing w:val="-8"/>
          <w:sz w:val="28"/>
        </w:rPr>
        <w:t xml:space="preserve"> </w:t>
      </w:r>
      <w:r w:rsidRPr="00C85AF5">
        <w:rPr>
          <w:rFonts w:ascii="Times New Roman" w:eastAsia="Times New Roman" w:hAnsi="Times New Roman" w:cs="Times New Roman"/>
          <w:b/>
          <w:sz w:val="28"/>
        </w:rPr>
        <w:t>and</w:t>
      </w:r>
      <w:r w:rsidRPr="00C85AF5">
        <w:rPr>
          <w:rFonts w:ascii="Times New Roman" w:eastAsia="Times New Roman" w:hAnsi="Times New Roman" w:cs="Times New Roman"/>
          <w:b/>
          <w:spacing w:val="-6"/>
          <w:sz w:val="28"/>
        </w:rPr>
        <w:t xml:space="preserve"> </w:t>
      </w:r>
      <w:r w:rsidRPr="00C85AF5">
        <w:rPr>
          <w:rFonts w:ascii="Times New Roman" w:eastAsia="Times New Roman" w:hAnsi="Times New Roman" w:cs="Times New Roman"/>
          <w:b/>
          <w:sz w:val="28"/>
        </w:rPr>
        <w:t>data</w:t>
      </w:r>
      <w:r w:rsidRPr="00C85AF5">
        <w:rPr>
          <w:rFonts w:ascii="Times New Roman" w:eastAsia="Times New Roman" w:hAnsi="Times New Roman" w:cs="Times New Roman"/>
          <w:b/>
          <w:spacing w:val="-5"/>
          <w:sz w:val="28"/>
        </w:rPr>
        <w:t xml:space="preserve"> </w:t>
      </w:r>
      <w:r w:rsidRPr="00C85AF5">
        <w:rPr>
          <w:rFonts w:ascii="Times New Roman" w:eastAsia="Times New Roman" w:hAnsi="Times New Roman" w:cs="Times New Roman"/>
          <w:b/>
          <w:spacing w:val="-2"/>
          <w:sz w:val="28"/>
        </w:rPr>
        <w:t>collection:</w:t>
      </w:r>
    </w:p>
    <w:p w:rsidR="00C85AF5" w:rsidRPr="00C85AF5" w:rsidRDefault="00C85AF5" w:rsidP="00C85AF5">
      <w:pPr>
        <w:widowControl w:val="0"/>
        <w:autoSpaceDE w:val="0"/>
        <w:autoSpaceDN w:val="0"/>
        <w:spacing w:before="321" w:after="0" w:line="360" w:lineRule="auto"/>
        <w:ind w:left="100" w:right="114"/>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40 patients were participated in this study, their ages between 30-80 years, both female</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male.</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patients</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were</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diagnosed</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by</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Rheumatologists</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Orthopedists regarding their knee pain. The participants are divided into two groups: group A is experimental group 20 patients (all of them Varus), who underwent usual OA treatment with biomechanical</w:t>
      </w:r>
      <w:r w:rsidRPr="00C85AF5">
        <w:rPr>
          <w:rFonts w:ascii="Times New Roman" w:eastAsia="Times New Roman" w:hAnsi="Times New Roman" w:cs="Times New Roman"/>
          <w:spacing w:val="-10"/>
          <w:sz w:val="28"/>
          <w:szCs w:val="28"/>
        </w:rPr>
        <w:t xml:space="preserve"> </w:t>
      </w:r>
      <w:r w:rsidRPr="00C85AF5">
        <w:rPr>
          <w:rFonts w:ascii="Times New Roman" w:eastAsia="Times New Roman" w:hAnsi="Times New Roman" w:cs="Times New Roman"/>
          <w:sz w:val="28"/>
          <w:szCs w:val="28"/>
        </w:rPr>
        <w:t>intervention</w:t>
      </w:r>
      <w:r w:rsidRPr="00C85AF5">
        <w:rPr>
          <w:rFonts w:ascii="Times New Roman" w:eastAsia="Times New Roman" w:hAnsi="Times New Roman" w:cs="Times New Roman"/>
          <w:spacing w:val="-10"/>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group</w:t>
      </w:r>
      <w:r w:rsidRPr="00C85AF5">
        <w:rPr>
          <w:rFonts w:ascii="Times New Roman" w:eastAsia="Times New Roman" w:hAnsi="Times New Roman" w:cs="Times New Roman"/>
          <w:spacing w:val="-10"/>
          <w:sz w:val="28"/>
          <w:szCs w:val="28"/>
        </w:rPr>
        <w:t xml:space="preserve"> </w:t>
      </w:r>
      <w:r w:rsidRPr="00C85AF5">
        <w:rPr>
          <w:rFonts w:ascii="Times New Roman" w:eastAsia="Times New Roman" w:hAnsi="Times New Roman" w:cs="Times New Roman"/>
          <w:sz w:val="28"/>
          <w:szCs w:val="28"/>
        </w:rPr>
        <w:t>B</w:t>
      </w:r>
      <w:r w:rsidRPr="00C85AF5">
        <w:rPr>
          <w:rFonts w:ascii="Times New Roman" w:eastAsia="Times New Roman" w:hAnsi="Times New Roman" w:cs="Times New Roman"/>
          <w:spacing w:val="-14"/>
          <w:sz w:val="28"/>
          <w:szCs w:val="28"/>
        </w:rPr>
        <w:t xml:space="preserve"> </w:t>
      </w:r>
      <w:r w:rsidRPr="00C85AF5">
        <w:rPr>
          <w:rFonts w:ascii="Times New Roman" w:eastAsia="Times New Roman" w:hAnsi="Times New Roman" w:cs="Times New Roman"/>
          <w:sz w:val="28"/>
          <w:szCs w:val="28"/>
        </w:rPr>
        <w:t>is</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control</w:t>
      </w:r>
      <w:r w:rsidRPr="00C85AF5">
        <w:rPr>
          <w:rFonts w:ascii="Times New Roman" w:eastAsia="Times New Roman" w:hAnsi="Times New Roman" w:cs="Times New Roman"/>
          <w:spacing w:val="-10"/>
          <w:sz w:val="28"/>
          <w:szCs w:val="28"/>
        </w:rPr>
        <w:t xml:space="preserve"> </w:t>
      </w:r>
      <w:r w:rsidRPr="00C85AF5">
        <w:rPr>
          <w:rFonts w:ascii="Times New Roman" w:eastAsia="Times New Roman" w:hAnsi="Times New Roman" w:cs="Times New Roman"/>
          <w:sz w:val="28"/>
          <w:szCs w:val="28"/>
        </w:rPr>
        <w:t>group</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20</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patients (18 Varus and 2 Valgus), who</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underwent usual OA treatment of physiotherapy like (aerobic and strengthening exercises) and medication like (acetaminophen, NSAIDs and opioids). All of the participants from the city center. The data was collected at Rizgary</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Teaching</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Hospital</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Erbil</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Teaching</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Hospital</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during</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period</w:t>
      </w:r>
      <w:r w:rsidRPr="00C85AF5">
        <w:rPr>
          <w:rFonts w:ascii="Times New Roman" w:eastAsia="Times New Roman" w:hAnsi="Times New Roman" w:cs="Times New Roman"/>
          <w:spacing w:val="-6"/>
          <w:sz w:val="28"/>
          <w:szCs w:val="28"/>
        </w:rPr>
        <w:t xml:space="preserve"> </w:t>
      </w:r>
      <w:r w:rsidRPr="00C85AF5">
        <w:rPr>
          <w:rFonts w:ascii="Times New Roman" w:eastAsia="Times New Roman" w:hAnsi="Times New Roman" w:cs="Times New Roman"/>
          <w:sz w:val="28"/>
          <w:szCs w:val="28"/>
        </w:rPr>
        <w:t>December 2021 to July 2023.</w:t>
      </w: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159"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numPr>
          <w:ilvl w:val="1"/>
          <w:numId w:val="7"/>
        </w:numPr>
        <w:tabs>
          <w:tab w:val="left" w:pos="590"/>
        </w:tabs>
        <w:autoSpaceDE w:val="0"/>
        <w:autoSpaceDN w:val="0"/>
        <w:spacing w:after="0" w:line="240" w:lineRule="auto"/>
        <w:ind w:left="590" w:hanging="490"/>
        <w:jc w:val="both"/>
        <w:outlineLvl w:val="0"/>
        <w:rPr>
          <w:rFonts w:ascii="Times New Roman" w:eastAsia="Times New Roman" w:hAnsi="Times New Roman" w:cs="Times New Roman"/>
          <w:b/>
          <w:bCs/>
          <w:sz w:val="28"/>
          <w:szCs w:val="28"/>
        </w:rPr>
      </w:pPr>
      <w:r w:rsidRPr="00C85AF5">
        <w:rPr>
          <w:rFonts w:ascii="Times New Roman" w:eastAsia="Times New Roman" w:hAnsi="Times New Roman" w:cs="Times New Roman"/>
          <w:b/>
          <w:bCs/>
          <w:sz w:val="28"/>
          <w:szCs w:val="28"/>
        </w:rPr>
        <w:t>Inclusion</w:t>
      </w:r>
      <w:r w:rsidRPr="00C85AF5">
        <w:rPr>
          <w:rFonts w:ascii="Times New Roman" w:eastAsia="Times New Roman" w:hAnsi="Times New Roman" w:cs="Times New Roman"/>
          <w:b/>
          <w:bCs/>
          <w:spacing w:val="-9"/>
          <w:sz w:val="28"/>
          <w:szCs w:val="28"/>
        </w:rPr>
        <w:t xml:space="preserve"> </w:t>
      </w:r>
      <w:r w:rsidRPr="00C85AF5">
        <w:rPr>
          <w:rFonts w:ascii="Times New Roman" w:eastAsia="Times New Roman" w:hAnsi="Times New Roman" w:cs="Times New Roman"/>
          <w:b/>
          <w:bCs/>
          <w:sz w:val="28"/>
          <w:szCs w:val="28"/>
        </w:rPr>
        <w:t>and</w:t>
      </w:r>
      <w:r w:rsidRPr="00C85AF5">
        <w:rPr>
          <w:rFonts w:ascii="Times New Roman" w:eastAsia="Times New Roman" w:hAnsi="Times New Roman" w:cs="Times New Roman"/>
          <w:b/>
          <w:bCs/>
          <w:spacing w:val="-6"/>
          <w:sz w:val="28"/>
          <w:szCs w:val="28"/>
        </w:rPr>
        <w:t xml:space="preserve"> </w:t>
      </w:r>
      <w:r w:rsidRPr="00C85AF5">
        <w:rPr>
          <w:rFonts w:ascii="Times New Roman" w:eastAsia="Times New Roman" w:hAnsi="Times New Roman" w:cs="Times New Roman"/>
          <w:b/>
          <w:bCs/>
          <w:sz w:val="28"/>
          <w:szCs w:val="28"/>
        </w:rPr>
        <w:t>Exclusion</w:t>
      </w:r>
      <w:r w:rsidRPr="00C85AF5">
        <w:rPr>
          <w:rFonts w:ascii="Times New Roman" w:eastAsia="Times New Roman" w:hAnsi="Times New Roman" w:cs="Times New Roman"/>
          <w:b/>
          <w:bCs/>
          <w:spacing w:val="-5"/>
          <w:sz w:val="28"/>
          <w:szCs w:val="28"/>
        </w:rPr>
        <w:t xml:space="preserve"> </w:t>
      </w:r>
      <w:r w:rsidRPr="00C85AF5">
        <w:rPr>
          <w:rFonts w:ascii="Times New Roman" w:eastAsia="Times New Roman" w:hAnsi="Times New Roman" w:cs="Times New Roman"/>
          <w:b/>
          <w:bCs/>
          <w:spacing w:val="-2"/>
          <w:sz w:val="28"/>
          <w:szCs w:val="28"/>
        </w:rPr>
        <w:t>criteria:</w:t>
      </w:r>
    </w:p>
    <w:p w:rsidR="00C85AF5" w:rsidRPr="00C85AF5" w:rsidRDefault="00C85AF5" w:rsidP="00C85AF5">
      <w:pPr>
        <w:widowControl w:val="0"/>
        <w:autoSpaceDE w:val="0"/>
        <w:autoSpaceDN w:val="0"/>
        <w:spacing w:before="321" w:after="0" w:line="360" w:lineRule="auto"/>
        <w:ind w:left="100" w:right="119"/>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3"/>
          <w:sz w:val="28"/>
          <w:szCs w:val="28"/>
        </w:rPr>
        <w:t xml:space="preserve"> </w:t>
      </w:r>
      <w:r w:rsidRPr="00C85AF5">
        <w:rPr>
          <w:rFonts w:ascii="Times New Roman" w:eastAsia="Times New Roman" w:hAnsi="Times New Roman" w:cs="Times New Roman"/>
          <w:sz w:val="28"/>
          <w:szCs w:val="28"/>
        </w:rPr>
        <w:t>patients</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were</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included</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in</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this</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study</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those</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who</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had knee</w:t>
      </w:r>
      <w:r w:rsidRPr="00C85AF5">
        <w:rPr>
          <w:rFonts w:ascii="Times New Roman" w:eastAsia="Times New Roman" w:hAnsi="Times New Roman" w:cs="Times New Roman"/>
          <w:spacing w:val="-3"/>
          <w:sz w:val="28"/>
          <w:szCs w:val="28"/>
        </w:rPr>
        <w:t xml:space="preserve"> </w:t>
      </w:r>
      <w:r w:rsidRPr="00C85AF5">
        <w:rPr>
          <w:rFonts w:ascii="Times New Roman" w:eastAsia="Times New Roman" w:hAnsi="Times New Roman" w:cs="Times New Roman"/>
          <w:sz w:val="28"/>
          <w:szCs w:val="28"/>
        </w:rPr>
        <w:t>joint</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osteoarthritis</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that is with biomechanical malalignment.</w:t>
      </w:r>
    </w:p>
    <w:p w:rsidR="00C85AF5" w:rsidRPr="00C85AF5" w:rsidRDefault="00C85AF5" w:rsidP="00C85AF5">
      <w:pPr>
        <w:widowControl w:val="0"/>
        <w:autoSpaceDE w:val="0"/>
        <w:autoSpaceDN w:val="0"/>
        <w:spacing w:before="160" w:after="0" w:line="360" w:lineRule="auto"/>
        <w:ind w:left="100" w:right="119"/>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The patients were excluded if they had a history of Rheumatoid Arthritis, knee surgery, pregnancy, hip disorders and those who had OA but did not develop a biomechanical malalignment.</w:t>
      </w:r>
    </w:p>
    <w:p w:rsidR="00C85AF5" w:rsidRPr="00C85AF5" w:rsidRDefault="00C85AF5" w:rsidP="00C85AF5">
      <w:pPr>
        <w:widowControl w:val="0"/>
        <w:autoSpaceDE w:val="0"/>
        <w:autoSpaceDN w:val="0"/>
        <w:spacing w:before="160" w:after="0" w:line="360" w:lineRule="auto"/>
        <w:ind w:left="100" w:right="119"/>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160" w:after="0" w:line="360" w:lineRule="auto"/>
        <w:ind w:right="119"/>
        <w:rPr>
          <w:rFonts w:ascii="Times New Roman" w:eastAsia="Times New Roman" w:hAnsi="Times New Roman" w:cs="Times New Roman"/>
          <w:sz w:val="28"/>
          <w:szCs w:val="28"/>
        </w:rPr>
      </w:pPr>
    </w:p>
    <w:p w:rsidR="00C85AF5" w:rsidRPr="00C85AF5" w:rsidRDefault="00C85AF5" w:rsidP="00C85AF5">
      <w:pPr>
        <w:widowControl w:val="0"/>
        <w:numPr>
          <w:ilvl w:val="1"/>
          <w:numId w:val="7"/>
        </w:numPr>
        <w:tabs>
          <w:tab w:val="left" w:pos="590"/>
        </w:tabs>
        <w:autoSpaceDE w:val="0"/>
        <w:autoSpaceDN w:val="0"/>
        <w:spacing w:after="0" w:line="240" w:lineRule="auto"/>
        <w:ind w:left="590" w:hanging="490"/>
        <w:jc w:val="both"/>
        <w:outlineLvl w:val="0"/>
        <w:rPr>
          <w:rFonts w:ascii="Times New Roman" w:eastAsia="Times New Roman" w:hAnsi="Times New Roman" w:cs="Times New Roman"/>
          <w:b/>
          <w:bCs/>
          <w:sz w:val="28"/>
          <w:szCs w:val="28"/>
        </w:rPr>
      </w:pPr>
      <w:r w:rsidRPr="00C85AF5">
        <w:rPr>
          <w:rFonts w:ascii="Times New Roman" w:eastAsia="Times New Roman" w:hAnsi="Times New Roman" w:cs="Times New Roman"/>
          <w:b/>
          <w:bCs/>
          <w:spacing w:val="-2"/>
          <w:sz w:val="28"/>
          <w:szCs w:val="28"/>
        </w:rPr>
        <w:t>Intervention</w:t>
      </w:r>
    </w:p>
    <w:p w:rsidR="00C85AF5" w:rsidRPr="00C85AF5" w:rsidRDefault="00C85AF5" w:rsidP="00C85AF5">
      <w:pPr>
        <w:widowControl w:val="0"/>
        <w:autoSpaceDE w:val="0"/>
        <w:autoSpaceDN w:val="0"/>
        <w:spacing w:after="0" w:line="360" w:lineRule="auto"/>
        <w:jc w:val="both"/>
        <w:rPr>
          <w:rFonts w:ascii="Times New Roman" w:eastAsia="Times New Roman" w:hAnsi="Times New Roman" w:cs="Times New Roman"/>
        </w:rPr>
      </w:pP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r w:rsidRPr="00C85AF5">
        <w:rPr>
          <w:rFonts w:ascii="Times New Roman" w:eastAsia="Times New Roman" w:hAnsi="Times New Roman" w:cs="Times New Roman"/>
          <w:spacing w:val="-18"/>
        </w:rPr>
        <w:t xml:space="preserve"> </w:t>
      </w:r>
      <w:r w:rsidRPr="00C85AF5">
        <w:rPr>
          <w:rFonts w:ascii="Times New Roman" w:eastAsia="Calibri" w:hAnsi="Times New Roman" w:cs="Times New Roman"/>
          <w:sz w:val="28"/>
          <w:szCs w:val="28"/>
        </w:rPr>
        <w:t>The study involved improving the biomechanical alignment of the patients with knee joint osteoarthritis, by adding a wedge on the outside shoe sole (Fig 3.1.), to alter the weight distribution on the knee joint by moving the action line of the weight and ground reaction force to be more laterally and to be used at least for the duration of three to six months.</w:t>
      </w: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p>
    <w:p w:rsidR="00C85AF5" w:rsidRPr="00C85AF5" w:rsidRDefault="00C85AF5" w:rsidP="00C85AF5">
      <w:pPr>
        <w:widowControl w:val="0"/>
        <w:autoSpaceDE w:val="0"/>
        <w:autoSpaceDN w:val="0"/>
        <w:spacing w:after="0" w:line="360" w:lineRule="auto"/>
        <w:jc w:val="center"/>
        <w:rPr>
          <w:rFonts w:ascii="Times New Roman" w:eastAsia="Calibri" w:hAnsi="Times New Roman" w:cs="Times New Roman"/>
          <w:sz w:val="28"/>
          <w:szCs w:val="28"/>
        </w:rPr>
      </w:pPr>
      <w:r w:rsidRPr="00C85AF5">
        <w:rPr>
          <w:rFonts w:ascii="Times New Roman" w:eastAsia="Calibri" w:hAnsi="Times New Roman" w:cs="Times New Roman"/>
          <w:noProof/>
          <w:sz w:val="28"/>
          <w:szCs w:val="28"/>
        </w:rPr>
        <w:drawing>
          <wp:inline distT="0" distB="0" distL="0" distR="0" wp14:anchorId="4999483D" wp14:editId="18751F69">
            <wp:extent cx="4277322" cy="368668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s.PNG"/>
                    <pic:cNvPicPr/>
                  </pic:nvPicPr>
                  <pic:blipFill>
                    <a:blip r:embed="rId10">
                      <a:extLst>
                        <a:ext uri="{28A0092B-C50C-407E-A947-70E740481C1C}">
                          <a14:useLocalDpi xmlns:a14="http://schemas.microsoft.com/office/drawing/2010/main" val="0"/>
                        </a:ext>
                      </a:extLst>
                    </a:blip>
                    <a:stretch>
                      <a:fillRect/>
                    </a:stretch>
                  </pic:blipFill>
                  <pic:spPr>
                    <a:xfrm>
                      <a:off x="0" y="0"/>
                      <a:ext cx="4277322" cy="3686689"/>
                    </a:xfrm>
                    <a:prstGeom prst="rect">
                      <a:avLst/>
                    </a:prstGeom>
                  </pic:spPr>
                </pic:pic>
              </a:graphicData>
            </a:graphic>
          </wp:inline>
        </w:drawing>
      </w: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r w:rsidRPr="00C85AF5">
        <w:rPr>
          <w:rFonts w:ascii="Times New Roman" w:eastAsia="Calibri" w:hAnsi="Times New Roman" w:cs="Times New Roman"/>
          <w:sz w:val="28"/>
          <w:szCs w:val="28"/>
        </w:rPr>
        <w:t xml:space="preserve">                                          Fig 3.1. Lateral wedge outsole</w:t>
      </w: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p>
    <w:p w:rsidR="00C85AF5" w:rsidRPr="00C85AF5" w:rsidRDefault="00C85AF5" w:rsidP="00C85AF5">
      <w:pPr>
        <w:widowControl w:val="0"/>
        <w:autoSpaceDE w:val="0"/>
        <w:autoSpaceDN w:val="0"/>
        <w:spacing w:after="0" w:line="360" w:lineRule="auto"/>
        <w:jc w:val="both"/>
        <w:rPr>
          <w:rFonts w:ascii="Times New Roman" w:eastAsia="Calibri" w:hAnsi="Times New Roman" w:cs="Times New Roman"/>
          <w:sz w:val="28"/>
          <w:szCs w:val="28"/>
        </w:rPr>
      </w:pPr>
    </w:p>
    <w:p w:rsidR="00C85AF5" w:rsidRPr="00C85AF5" w:rsidRDefault="00C85AF5" w:rsidP="00C85AF5">
      <w:pPr>
        <w:widowControl w:val="0"/>
        <w:numPr>
          <w:ilvl w:val="1"/>
          <w:numId w:val="7"/>
        </w:numPr>
        <w:tabs>
          <w:tab w:val="left" w:pos="588"/>
        </w:tabs>
        <w:autoSpaceDE w:val="0"/>
        <w:autoSpaceDN w:val="0"/>
        <w:spacing w:before="60" w:after="0" w:line="240" w:lineRule="auto"/>
        <w:ind w:left="588" w:hanging="488"/>
        <w:jc w:val="both"/>
        <w:outlineLvl w:val="0"/>
        <w:rPr>
          <w:rFonts w:ascii="Times New Roman" w:eastAsia="Times New Roman" w:hAnsi="Times New Roman" w:cs="Times New Roman"/>
          <w:b/>
          <w:bCs/>
          <w:sz w:val="28"/>
          <w:szCs w:val="28"/>
        </w:rPr>
      </w:pPr>
      <w:r w:rsidRPr="00C85AF5">
        <w:rPr>
          <w:rFonts w:ascii="Times New Roman" w:eastAsia="Times New Roman" w:hAnsi="Times New Roman" w:cs="Times New Roman"/>
          <w:b/>
          <w:bCs/>
          <w:spacing w:val="-2"/>
          <w:sz w:val="28"/>
          <w:szCs w:val="28"/>
        </w:rPr>
        <w:t>Procedure</w:t>
      </w:r>
    </w:p>
    <w:p w:rsidR="00C85AF5" w:rsidRPr="00C85AF5" w:rsidRDefault="00C85AF5" w:rsidP="00C85AF5">
      <w:pPr>
        <w:widowControl w:val="0"/>
        <w:autoSpaceDE w:val="0"/>
        <w:autoSpaceDN w:val="0"/>
        <w:spacing w:before="322" w:after="0" w:line="360" w:lineRule="auto"/>
        <w:ind w:left="100" w:right="115"/>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 xml:space="preserve">The patients were referred by Rheumatologists and Orthopedists and we </w:t>
      </w:r>
      <w:r w:rsidRPr="00C85AF5">
        <w:rPr>
          <w:rFonts w:ascii="Times New Roman" w:eastAsia="Times New Roman" w:hAnsi="Times New Roman" w:cs="Times New Roman"/>
          <w:sz w:val="28"/>
          <w:szCs w:val="28"/>
        </w:rPr>
        <w:lastRenderedPageBreak/>
        <w:t>recorded the history of the patients, their pain score used</w:t>
      </w:r>
      <w:r w:rsidRPr="00C85AF5">
        <w:rPr>
          <w:rFonts w:ascii="Times New Roman" w:eastAsia="Times New Roman" w:hAnsi="Times New Roman" w:cs="Times New Roman"/>
          <w:spacing w:val="-6"/>
          <w:sz w:val="28"/>
          <w:szCs w:val="28"/>
        </w:rPr>
        <w:t xml:space="preserve"> </w:t>
      </w:r>
      <w:r w:rsidRPr="00C85AF5">
        <w:rPr>
          <w:rFonts w:ascii="Times New Roman" w:eastAsia="Times New Roman" w:hAnsi="Times New Roman" w:cs="Times New Roman"/>
          <w:sz w:val="28"/>
          <w:szCs w:val="28"/>
        </w:rPr>
        <w:t>VAS (0-10) (Fig 3.2.), and physical activities used WOMAC questionnaire (Apendix1). Then according to the patients X-ray</w:t>
      </w:r>
      <w:r w:rsidRPr="00C85AF5">
        <w:rPr>
          <w:rFonts w:ascii="Times New Roman" w:eastAsia="Times New Roman" w:hAnsi="Times New Roman" w:cs="Times New Roman"/>
          <w:spacing w:val="-14"/>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14"/>
          <w:sz w:val="28"/>
          <w:szCs w:val="28"/>
        </w:rPr>
        <w:t xml:space="preserve"> </w:t>
      </w:r>
      <w:r w:rsidRPr="00C85AF5">
        <w:rPr>
          <w:rFonts w:ascii="Times New Roman" w:eastAsia="Times New Roman" w:hAnsi="Times New Roman" w:cs="Times New Roman"/>
          <w:sz w:val="28"/>
          <w:szCs w:val="28"/>
        </w:rPr>
        <w:t>using</w:t>
      </w:r>
      <w:r w:rsidRPr="00C85AF5">
        <w:rPr>
          <w:rFonts w:ascii="Times New Roman" w:eastAsia="Times New Roman" w:hAnsi="Times New Roman" w:cs="Times New Roman"/>
          <w:spacing w:val="-14"/>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LASER</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line</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from</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anterior</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superior</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iliac</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supine</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to</w:t>
      </w:r>
      <w:r w:rsidRPr="00C85AF5">
        <w:rPr>
          <w:rFonts w:ascii="Times New Roman" w:eastAsia="Times New Roman" w:hAnsi="Times New Roman" w:cs="Times New Roman"/>
          <w:spacing w:val="-14"/>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middle of</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ankle</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joint.</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We</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could</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indicate</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kind</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of</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mal-alignment</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of</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patient has whether it Varus or Valgus. To ensure that patients we chosen according to the criteria mentioned above. Then we followed-up the pain, physical activities, and alignment of the patients after six months.</w:t>
      </w: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0"/>
          <w:szCs w:val="28"/>
        </w:rPr>
      </w:pP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0"/>
          <w:szCs w:val="28"/>
        </w:rPr>
      </w:pP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0"/>
          <w:szCs w:val="28"/>
        </w:rPr>
      </w:pP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0"/>
          <w:szCs w:val="28"/>
        </w:rPr>
      </w:pP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0"/>
          <w:szCs w:val="28"/>
        </w:rPr>
      </w:pPr>
    </w:p>
    <w:p w:rsidR="00C85AF5" w:rsidRPr="00C85AF5" w:rsidRDefault="00C85AF5" w:rsidP="00C85AF5">
      <w:pPr>
        <w:widowControl w:val="0"/>
        <w:autoSpaceDE w:val="0"/>
        <w:autoSpaceDN w:val="0"/>
        <w:spacing w:before="41" w:after="0" w:line="240" w:lineRule="auto"/>
        <w:jc w:val="both"/>
        <w:rPr>
          <w:rFonts w:ascii="Times New Roman" w:eastAsia="Times New Roman" w:hAnsi="Times New Roman" w:cs="Times New Roman"/>
          <w:sz w:val="20"/>
          <w:szCs w:val="28"/>
        </w:rPr>
      </w:pPr>
      <w:r w:rsidRPr="00C85AF5">
        <w:rPr>
          <w:rFonts w:ascii="Times New Roman" w:eastAsia="Times New Roman" w:hAnsi="Times New Roman" w:cs="Times New Roman"/>
          <w:noProof/>
          <w:sz w:val="28"/>
          <w:szCs w:val="28"/>
        </w:rPr>
        <w:drawing>
          <wp:anchor distT="0" distB="0" distL="0" distR="0" simplePos="0" relativeHeight="251659264" behindDoc="1" locked="0" layoutInCell="1" allowOverlap="1" wp14:anchorId="6042AB0D" wp14:editId="78A8FC7E">
            <wp:simplePos x="0" y="0"/>
            <wp:positionH relativeFrom="page">
              <wp:posOffset>1181100</wp:posOffset>
            </wp:positionH>
            <wp:positionV relativeFrom="paragraph">
              <wp:posOffset>187358</wp:posOffset>
            </wp:positionV>
            <wp:extent cx="5522085" cy="2450592"/>
            <wp:effectExtent l="0" t="0" r="0" b="0"/>
            <wp:wrapTopAndBottom/>
            <wp:docPr id="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5522085" cy="2450592"/>
                    </a:xfrm>
                    <a:prstGeom prst="rect">
                      <a:avLst/>
                    </a:prstGeom>
                  </pic:spPr>
                </pic:pic>
              </a:graphicData>
            </a:graphic>
          </wp:anchor>
        </w:drawing>
      </w:r>
    </w:p>
    <w:p w:rsidR="00C85AF5" w:rsidRPr="00C85AF5" w:rsidRDefault="00C85AF5" w:rsidP="00C85AF5">
      <w:pPr>
        <w:widowControl w:val="0"/>
        <w:autoSpaceDE w:val="0"/>
        <w:autoSpaceDN w:val="0"/>
        <w:spacing w:before="9"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after="0" w:line="360" w:lineRule="auto"/>
        <w:ind w:left="1816" w:hanging="1517"/>
        <w:jc w:val="both"/>
        <w:rPr>
          <w:rFonts w:ascii="Times New Roman" w:eastAsia="Times New Roman" w:hAnsi="Times New Roman" w:cs="Times New Roman"/>
          <w:sz w:val="24"/>
        </w:rPr>
      </w:pPr>
      <w:r w:rsidRPr="00C85AF5">
        <w:rPr>
          <w:rFonts w:ascii="Times New Roman" w:eastAsia="Times New Roman" w:hAnsi="Times New Roman" w:cs="Times New Roman"/>
          <w:b/>
          <w:sz w:val="24"/>
        </w:rPr>
        <w:t>Fig</w:t>
      </w:r>
      <w:r w:rsidRPr="00C85AF5">
        <w:rPr>
          <w:rFonts w:ascii="Times New Roman" w:eastAsia="Times New Roman" w:hAnsi="Times New Roman" w:cs="Times New Roman"/>
          <w:b/>
          <w:spacing w:val="-3"/>
          <w:sz w:val="24"/>
        </w:rPr>
        <w:t xml:space="preserve"> </w:t>
      </w:r>
      <w:r w:rsidRPr="00C85AF5">
        <w:rPr>
          <w:rFonts w:ascii="Times New Roman" w:eastAsia="Times New Roman" w:hAnsi="Times New Roman" w:cs="Times New Roman"/>
          <w:b/>
          <w:sz w:val="24"/>
        </w:rPr>
        <w:t>3.2.:</w:t>
      </w:r>
      <w:r w:rsidRPr="00C85AF5">
        <w:rPr>
          <w:rFonts w:ascii="Times New Roman" w:eastAsia="Times New Roman" w:hAnsi="Times New Roman" w:cs="Times New Roman"/>
          <w:b/>
          <w:spacing w:val="-4"/>
          <w:sz w:val="24"/>
        </w:rPr>
        <w:t xml:space="preserve"> </w:t>
      </w:r>
      <w:r w:rsidRPr="00C85AF5">
        <w:rPr>
          <w:rFonts w:ascii="Times New Roman" w:eastAsia="Times New Roman" w:hAnsi="Times New Roman" w:cs="Times New Roman"/>
          <w:sz w:val="24"/>
        </w:rPr>
        <w:t>Show</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rate</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pain</w:t>
      </w:r>
      <w:r w:rsidRPr="00C85AF5">
        <w:rPr>
          <w:rFonts w:ascii="Times New Roman" w:eastAsia="Times New Roman" w:hAnsi="Times New Roman" w:cs="Times New Roman"/>
          <w:spacing w:val="-1"/>
          <w:sz w:val="24"/>
        </w:rPr>
        <w:t xml:space="preserve"> </w:t>
      </w:r>
      <w:r w:rsidRPr="00C85AF5">
        <w:rPr>
          <w:rFonts w:ascii="Times New Roman" w:eastAsia="Times New Roman" w:hAnsi="Times New Roman" w:cs="Times New Roman"/>
          <w:sz w:val="24"/>
        </w:rPr>
        <w:t>scale.</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Raja</w:t>
      </w:r>
      <w:r w:rsidRPr="00C85AF5">
        <w:rPr>
          <w:rFonts w:ascii="Times New Roman" w:eastAsia="Times New Roman" w:hAnsi="Times New Roman" w:cs="Times New Roman"/>
          <w:spacing w:val="-5"/>
          <w:sz w:val="24"/>
        </w:rPr>
        <w:t xml:space="preserve"> </w:t>
      </w:r>
      <w:r w:rsidRPr="00C85AF5">
        <w:rPr>
          <w:rFonts w:ascii="Times New Roman" w:eastAsia="Times New Roman" w:hAnsi="Times New Roman" w:cs="Times New Roman"/>
          <w:sz w:val="24"/>
        </w:rPr>
        <w:t>SN,</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Carr</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DB,</w:t>
      </w:r>
      <w:r w:rsidRPr="00C85AF5">
        <w:rPr>
          <w:rFonts w:ascii="Times New Roman" w:eastAsia="Times New Roman" w:hAnsi="Times New Roman" w:cs="Times New Roman"/>
          <w:spacing w:val="-1"/>
          <w:sz w:val="24"/>
        </w:rPr>
        <w:t xml:space="preserve"> </w:t>
      </w:r>
      <w:r w:rsidRPr="00C85AF5">
        <w:rPr>
          <w:rFonts w:ascii="Times New Roman" w:eastAsia="Times New Roman" w:hAnsi="Times New Roman" w:cs="Times New Roman"/>
          <w:sz w:val="24"/>
        </w:rPr>
        <w:t>Cohen</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M,</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Finnerup</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NB,</w:t>
      </w:r>
      <w:r w:rsidRPr="00C85AF5">
        <w:rPr>
          <w:rFonts w:ascii="Times New Roman" w:eastAsia="Times New Roman" w:hAnsi="Times New Roman" w:cs="Times New Roman"/>
          <w:spacing w:val="-1"/>
          <w:sz w:val="24"/>
        </w:rPr>
        <w:t xml:space="preserve"> </w:t>
      </w:r>
      <w:r w:rsidRPr="00C85AF5">
        <w:rPr>
          <w:rFonts w:ascii="Times New Roman" w:eastAsia="Times New Roman" w:hAnsi="Times New Roman" w:cs="Times New Roman"/>
          <w:sz w:val="24"/>
        </w:rPr>
        <w:t>Flor</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H,</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Gibson</w:t>
      </w:r>
      <w:r w:rsidRPr="00C85AF5">
        <w:rPr>
          <w:rFonts w:ascii="Times New Roman" w:eastAsia="Times New Roman" w:hAnsi="Times New Roman" w:cs="Times New Roman"/>
          <w:spacing w:val="-3"/>
          <w:sz w:val="24"/>
        </w:rPr>
        <w:t xml:space="preserve"> </w:t>
      </w:r>
      <w:r w:rsidRPr="00C85AF5">
        <w:rPr>
          <w:rFonts w:ascii="Times New Roman" w:eastAsia="Times New Roman" w:hAnsi="Times New Roman" w:cs="Times New Roman"/>
          <w:sz w:val="24"/>
        </w:rPr>
        <w:t>S, Keefe F, Mogil JS, Ringkamp M, Sluka KA, Song XJ (2020).</w:t>
      </w:r>
    </w:p>
    <w:p w:rsidR="00C85AF5" w:rsidRPr="00C85AF5" w:rsidRDefault="00C85AF5" w:rsidP="00C85AF5">
      <w:pPr>
        <w:widowControl w:val="0"/>
        <w:autoSpaceDE w:val="0"/>
        <w:autoSpaceDN w:val="0"/>
        <w:spacing w:after="0" w:line="360" w:lineRule="auto"/>
        <w:ind w:left="1816" w:hanging="1517"/>
        <w:jc w:val="both"/>
        <w:rPr>
          <w:rFonts w:ascii="Times New Roman" w:eastAsia="Times New Roman" w:hAnsi="Times New Roman" w:cs="Times New Roman"/>
        </w:rPr>
      </w:pPr>
    </w:p>
    <w:p w:rsidR="00C85AF5" w:rsidRPr="00C85AF5" w:rsidRDefault="00C85AF5" w:rsidP="00C85AF5">
      <w:pPr>
        <w:widowControl w:val="0"/>
        <w:autoSpaceDE w:val="0"/>
        <w:autoSpaceDN w:val="0"/>
        <w:spacing w:after="0" w:line="360" w:lineRule="auto"/>
        <w:ind w:left="1816" w:hanging="1517"/>
        <w:jc w:val="both"/>
        <w:rPr>
          <w:rFonts w:ascii="Times New Roman" w:eastAsia="Times New Roman" w:hAnsi="Times New Roman" w:cs="Times New Roman"/>
        </w:rPr>
      </w:pPr>
    </w:p>
    <w:p w:rsidR="00C85AF5" w:rsidRPr="00C85AF5" w:rsidRDefault="00C85AF5" w:rsidP="00C85AF5">
      <w:pPr>
        <w:widowControl w:val="0"/>
        <w:autoSpaceDE w:val="0"/>
        <w:autoSpaceDN w:val="0"/>
        <w:spacing w:after="0" w:line="360" w:lineRule="auto"/>
        <w:ind w:left="1816" w:hanging="1517"/>
        <w:jc w:val="both"/>
        <w:rPr>
          <w:rFonts w:ascii="Times New Roman" w:eastAsia="Times New Roman" w:hAnsi="Times New Roman" w:cs="Times New Roman"/>
        </w:rPr>
      </w:pPr>
    </w:p>
    <w:p w:rsidR="00C85AF5" w:rsidRPr="00C85AF5" w:rsidRDefault="00C85AF5" w:rsidP="00C85AF5">
      <w:pPr>
        <w:widowControl w:val="0"/>
        <w:autoSpaceDE w:val="0"/>
        <w:autoSpaceDN w:val="0"/>
        <w:spacing w:after="0" w:line="360" w:lineRule="auto"/>
        <w:ind w:left="1816" w:hanging="1517"/>
        <w:jc w:val="both"/>
        <w:rPr>
          <w:rFonts w:ascii="Times New Roman" w:eastAsia="Times New Roman" w:hAnsi="Times New Roman" w:cs="Times New Roman"/>
        </w:rPr>
      </w:pPr>
    </w:p>
    <w:p w:rsidR="00C85AF5" w:rsidRPr="00C85AF5" w:rsidRDefault="00C85AF5" w:rsidP="00C85AF5">
      <w:pPr>
        <w:widowControl w:val="0"/>
        <w:autoSpaceDE w:val="0"/>
        <w:autoSpaceDN w:val="0"/>
        <w:spacing w:after="0" w:line="360" w:lineRule="auto"/>
        <w:ind w:left="1816" w:hanging="1517"/>
        <w:jc w:val="both"/>
        <w:rPr>
          <w:rFonts w:ascii="Times New Roman" w:eastAsia="Times New Roman" w:hAnsi="Times New Roman" w:cs="Times New Roman"/>
        </w:rPr>
      </w:pPr>
    </w:p>
    <w:p w:rsidR="00C85AF5" w:rsidRPr="00C85AF5" w:rsidRDefault="00C85AF5" w:rsidP="00C85AF5">
      <w:pPr>
        <w:widowControl w:val="0"/>
        <w:autoSpaceDE w:val="0"/>
        <w:autoSpaceDN w:val="0"/>
        <w:spacing w:after="0" w:line="360" w:lineRule="auto"/>
        <w:ind w:left="1816" w:hanging="1517"/>
        <w:jc w:val="both"/>
        <w:rPr>
          <w:rFonts w:ascii="Times New Roman" w:eastAsia="Times New Roman" w:hAnsi="Times New Roman" w:cs="Times New Roman"/>
        </w:rPr>
      </w:pPr>
    </w:p>
    <w:p w:rsidR="00C85AF5" w:rsidRPr="00C85AF5" w:rsidRDefault="00C85AF5" w:rsidP="00C85AF5">
      <w:pPr>
        <w:widowControl w:val="0"/>
        <w:autoSpaceDE w:val="0"/>
        <w:autoSpaceDN w:val="0"/>
        <w:spacing w:after="0" w:line="360" w:lineRule="auto"/>
        <w:jc w:val="both"/>
        <w:rPr>
          <w:rFonts w:ascii="Times New Roman" w:eastAsia="Times New Roman" w:hAnsi="Times New Roman" w:cs="Times New Roman"/>
        </w:rPr>
      </w:pPr>
    </w:p>
    <w:p w:rsidR="00C85AF5" w:rsidRPr="00C85AF5" w:rsidRDefault="00C85AF5" w:rsidP="00C85AF5">
      <w:pPr>
        <w:widowControl w:val="0"/>
        <w:autoSpaceDE w:val="0"/>
        <w:autoSpaceDN w:val="0"/>
        <w:spacing w:after="0" w:line="360" w:lineRule="auto"/>
        <w:ind w:left="1816" w:hanging="1517"/>
        <w:jc w:val="both"/>
        <w:rPr>
          <w:rFonts w:ascii="Times New Roman" w:eastAsia="Times New Roman" w:hAnsi="Times New Roman" w:cs="Times New Roman"/>
        </w:rPr>
      </w:pPr>
      <w:r w:rsidRPr="00C85AF5">
        <w:rPr>
          <w:rFonts w:ascii="Times New Roman" w:eastAsia="Times New Roman" w:hAnsi="Times New Roman" w:cs="Times New Roman"/>
        </w:rPr>
        <w:t xml:space="preserve"> </w:t>
      </w:r>
    </w:p>
    <w:p w:rsidR="00C85AF5" w:rsidRPr="00C85AF5" w:rsidRDefault="00C85AF5" w:rsidP="00C85AF5">
      <w:pPr>
        <w:widowControl w:val="0"/>
        <w:numPr>
          <w:ilvl w:val="1"/>
          <w:numId w:val="7"/>
        </w:numPr>
        <w:tabs>
          <w:tab w:val="left" w:pos="590"/>
        </w:tabs>
        <w:autoSpaceDE w:val="0"/>
        <w:autoSpaceDN w:val="0"/>
        <w:spacing w:after="0" w:line="240" w:lineRule="auto"/>
        <w:ind w:left="590" w:hanging="490"/>
        <w:jc w:val="both"/>
        <w:outlineLvl w:val="0"/>
        <w:rPr>
          <w:rFonts w:ascii="Times New Roman" w:eastAsia="Times New Roman" w:hAnsi="Times New Roman" w:cs="Times New Roman"/>
          <w:b/>
          <w:bCs/>
          <w:sz w:val="28"/>
          <w:szCs w:val="28"/>
        </w:rPr>
      </w:pPr>
      <w:r w:rsidRPr="00C85AF5">
        <w:rPr>
          <w:rFonts w:ascii="Times New Roman" w:eastAsia="Times New Roman" w:hAnsi="Times New Roman" w:cs="Times New Roman"/>
          <w:b/>
          <w:bCs/>
          <w:sz w:val="28"/>
          <w:szCs w:val="28"/>
        </w:rPr>
        <w:t>Western</w:t>
      </w:r>
      <w:r w:rsidRPr="00C85AF5">
        <w:rPr>
          <w:rFonts w:ascii="Times New Roman" w:eastAsia="Times New Roman" w:hAnsi="Times New Roman" w:cs="Times New Roman"/>
          <w:b/>
          <w:bCs/>
          <w:spacing w:val="-8"/>
          <w:sz w:val="28"/>
          <w:szCs w:val="28"/>
        </w:rPr>
        <w:t xml:space="preserve"> </w:t>
      </w:r>
      <w:r w:rsidRPr="00C85AF5">
        <w:rPr>
          <w:rFonts w:ascii="Times New Roman" w:eastAsia="Times New Roman" w:hAnsi="Times New Roman" w:cs="Times New Roman"/>
          <w:b/>
          <w:bCs/>
          <w:sz w:val="28"/>
          <w:szCs w:val="28"/>
        </w:rPr>
        <w:t>Ontario</w:t>
      </w:r>
      <w:r w:rsidRPr="00C85AF5">
        <w:rPr>
          <w:rFonts w:ascii="Times New Roman" w:eastAsia="Times New Roman" w:hAnsi="Times New Roman" w:cs="Times New Roman"/>
          <w:b/>
          <w:bCs/>
          <w:spacing w:val="-7"/>
          <w:sz w:val="28"/>
          <w:szCs w:val="28"/>
        </w:rPr>
        <w:t xml:space="preserve"> </w:t>
      </w:r>
      <w:r w:rsidRPr="00C85AF5">
        <w:rPr>
          <w:rFonts w:ascii="Times New Roman" w:eastAsia="Times New Roman" w:hAnsi="Times New Roman" w:cs="Times New Roman"/>
          <w:b/>
          <w:bCs/>
          <w:sz w:val="28"/>
          <w:szCs w:val="28"/>
        </w:rPr>
        <w:t>and</w:t>
      </w:r>
      <w:r w:rsidRPr="00C85AF5">
        <w:rPr>
          <w:rFonts w:ascii="Times New Roman" w:eastAsia="Times New Roman" w:hAnsi="Times New Roman" w:cs="Times New Roman"/>
          <w:b/>
          <w:bCs/>
          <w:spacing w:val="-7"/>
          <w:sz w:val="28"/>
          <w:szCs w:val="28"/>
        </w:rPr>
        <w:t xml:space="preserve"> </w:t>
      </w:r>
      <w:r w:rsidRPr="00C85AF5">
        <w:rPr>
          <w:rFonts w:ascii="Times New Roman" w:eastAsia="Times New Roman" w:hAnsi="Times New Roman" w:cs="Times New Roman"/>
          <w:b/>
          <w:bCs/>
          <w:sz w:val="28"/>
          <w:szCs w:val="28"/>
        </w:rPr>
        <w:t>McMaster</w:t>
      </w:r>
      <w:r w:rsidRPr="00C85AF5">
        <w:rPr>
          <w:rFonts w:ascii="Times New Roman" w:eastAsia="Times New Roman" w:hAnsi="Times New Roman" w:cs="Times New Roman"/>
          <w:b/>
          <w:bCs/>
          <w:spacing w:val="-10"/>
          <w:sz w:val="28"/>
          <w:szCs w:val="28"/>
        </w:rPr>
        <w:t xml:space="preserve"> </w:t>
      </w:r>
      <w:r w:rsidRPr="00C85AF5">
        <w:rPr>
          <w:rFonts w:ascii="Times New Roman" w:eastAsia="Times New Roman" w:hAnsi="Times New Roman" w:cs="Times New Roman"/>
          <w:b/>
          <w:bCs/>
          <w:sz w:val="28"/>
          <w:szCs w:val="28"/>
        </w:rPr>
        <w:t>Universities</w:t>
      </w:r>
      <w:r w:rsidRPr="00C85AF5">
        <w:rPr>
          <w:rFonts w:ascii="Times New Roman" w:eastAsia="Times New Roman" w:hAnsi="Times New Roman" w:cs="Times New Roman"/>
          <w:b/>
          <w:bCs/>
          <w:spacing w:val="-7"/>
          <w:sz w:val="28"/>
          <w:szCs w:val="28"/>
        </w:rPr>
        <w:t xml:space="preserve"> </w:t>
      </w:r>
      <w:r w:rsidRPr="00C85AF5">
        <w:rPr>
          <w:rFonts w:ascii="Times New Roman" w:eastAsia="Times New Roman" w:hAnsi="Times New Roman" w:cs="Times New Roman"/>
          <w:b/>
          <w:bCs/>
          <w:sz w:val="28"/>
          <w:szCs w:val="28"/>
        </w:rPr>
        <w:t>Osteoarthritis</w:t>
      </w:r>
      <w:r w:rsidRPr="00C85AF5">
        <w:rPr>
          <w:rFonts w:ascii="Times New Roman" w:eastAsia="Times New Roman" w:hAnsi="Times New Roman" w:cs="Times New Roman"/>
          <w:b/>
          <w:bCs/>
          <w:spacing w:val="-6"/>
          <w:sz w:val="28"/>
          <w:szCs w:val="28"/>
        </w:rPr>
        <w:t xml:space="preserve"> </w:t>
      </w:r>
      <w:r w:rsidRPr="00C85AF5">
        <w:rPr>
          <w:rFonts w:ascii="Times New Roman" w:eastAsia="Times New Roman" w:hAnsi="Times New Roman" w:cs="Times New Roman"/>
          <w:b/>
          <w:bCs/>
          <w:spacing w:val="-2"/>
          <w:sz w:val="28"/>
          <w:szCs w:val="28"/>
        </w:rPr>
        <w:t>Index</w:t>
      </w:r>
    </w:p>
    <w:p w:rsidR="00C85AF5" w:rsidRPr="00C85AF5" w:rsidRDefault="00C85AF5" w:rsidP="00C85AF5">
      <w:pPr>
        <w:widowControl w:val="0"/>
        <w:autoSpaceDE w:val="0"/>
        <w:autoSpaceDN w:val="0"/>
        <w:spacing w:before="322" w:after="0" w:line="360" w:lineRule="auto"/>
        <w:ind w:left="100" w:right="122"/>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lastRenderedPageBreak/>
        <w:t>The WOMAC (Western Ontario and McMaster Universities Osteoarthritis Index) questionnaire is a standardized assessment tool used to measure the symptoms and functional</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limitations</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of</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individuals</w:t>
      </w:r>
      <w:r w:rsidRPr="00C85AF5">
        <w:rPr>
          <w:rFonts w:ascii="Times New Roman" w:eastAsia="Times New Roman" w:hAnsi="Times New Roman" w:cs="Times New Roman"/>
          <w:spacing w:val="-19"/>
          <w:sz w:val="28"/>
          <w:szCs w:val="28"/>
        </w:rPr>
        <w:t xml:space="preserve"> </w:t>
      </w:r>
      <w:r w:rsidRPr="00C85AF5">
        <w:rPr>
          <w:rFonts w:ascii="Times New Roman" w:eastAsia="Times New Roman" w:hAnsi="Times New Roman" w:cs="Times New Roman"/>
          <w:sz w:val="28"/>
          <w:szCs w:val="28"/>
        </w:rPr>
        <w:t>with</w:t>
      </w:r>
      <w:r w:rsidRPr="00C85AF5">
        <w:rPr>
          <w:rFonts w:ascii="Times New Roman" w:eastAsia="Times New Roman" w:hAnsi="Times New Roman" w:cs="Times New Roman"/>
          <w:spacing w:val="-19"/>
          <w:sz w:val="28"/>
          <w:szCs w:val="28"/>
        </w:rPr>
        <w:t xml:space="preserve"> </w:t>
      </w:r>
      <w:r w:rsidRPr="00C85AF5">
        <w:rPr>
          <w:rFonts w:ascii="Times New Roman" w:eastAsia="Times New Roman" w:hAnsi="Times New Roman" w:cs="Times New Roman"/>
          <w:sz w:val="28"/>
          <w:szCs w:val="28"/>
        </w:rPr>
        <w:t>osteoarthritis.</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It</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consists</w:t>
      </w:r>
      <w:r w:rsidRPr="00C85AF5">
        <w:rPr>
          <w:rFonts w:ascii="Times New Roman" w:eastAsia="Times New Roman" w:hAnsi="Times New Roman" w:cs="Times New Roman"/>
          <w:spacing w:val="-19"/>
          <w:sz w:val="28"/>
          <w:szCs w:val="28"/>
        </w:rPr>
        <w:t xml:space="preserve"> </w:t>
      </w:r>
      <w:r w:rsidRPr="00C85AF5">
        <w:rPr>
          <w:rFonts w:ascii="Times New Roman" w:eastAsia="Times New Roman" w:hAnsi="Times New Roman" w:cs="Times New Roman"/>
          <w:sz w:val="28"/>
          <w:szCs w:val="28"/>
        </w:rPr>
        <w:t>of</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three</w:t>
      </w:r>
      <w:r w:rsidRPr="00C85AF5">
        <w:rPr>
          <w:rFonts w:ascii="Times New Roman" w:eastAsia="Times New Roman" w:hAnsi="Times New Roman" w:cs="Times New Roman"/>
          <w:spacing w:val="-20"/>
          <w:sz w:val="28"/>
          <w:szCs w:val="28"/>
        </w:rPr>
        <w:t xml:space="preserve"> </w:t>
      </w:r>
      <w:r w:rsidRPr="00C85AF5">
        <w:rPr>
          <w:rFonts w:ascii="Times New Roman" w:eastAsia="Times New Roman" w:hAnsi="Times New Roman" w:cs="Times New Roman"/>
          <w:sz w:val="28"/>
          <w:szCs w:val="28"/>
        </w:rPr>
        <w:t>subscales:</w:t>
      </w:r>
    </w:p>
    <w:p w:rsidR="00C85AF5" w:rsidRPr="00C85AF5" w:rsidRDefault="00C85AF5" w:rsidP="00C85AF5">
      <w:pPr>
        <w:widowControl w:val="0"/>
        <w:autoSpaceDE w:val="0"/>
        <w:autoSpaceDN w:val="0"/>
        <w:spacing w:before="322" w:after="0" w:line="360" w:lineRule="auto"/>
        <w:ind w:left="100" w:right="122"/>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322" w:after="0" w:line="360" w:lineRule="auto"/>
        <w:ind w:left="100" w:right="122"/>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322" w:after="0" w:line="360" w:lineRule="auto"/>
        <w:ind w:right="122"/>
        <w:jc w:val="both"/>
        <w:rPr>
          <w:rFonts w:ascii="Times New Roman" w:eastAsia="Times New Roman" w:hAnsi="Times New Roman" w:cs="Times New Roman"/>
          <w:sz w:val="28"/>
          <w:szCs w:val="28"/>
        </w:rPr>
      </w:pPr>
    </w:p>
    <w:p w:rsidR="00C85AF5" w:rsidRPr="00C85AF5" w:rsidRDefault="00C85AF5" w:rsidP="00C85AF5">
      <w:pPr>
        <w:widowControl w:val="0"/>
        <w:numPr>
          <w:ilvl w:val="0"/>
          <w:numId w:val="6"/>
        </w:numPr>
        <w:tabs>
          <w:tab w:val="left" w:pos="416"/>
        </w:tabs>
        <w:autoSpaceDE w:val="0"/>
        <w:autoSpaceDN w:val="0"/>
        <w:spacing w:before="60" w:after="0" w:line="360" w:lineRule="auto"/>
        <w:ind w:right="125" w:firstLine="0"/>
        <w:jc w:val="both"/>
        <w:rPr>
          <w:rFonts w:ascii="Times New Roman" w:eastAsia="Times New Roman" w:hAnsi="Times New Roman" w:cs="Times New Roman"/>
          <w:sz w:val="28"/>
        </w:rPr>
      </w:pPr>
      <w:r w:rsidRPr="00C85AF5">
        <w:rPr>
          <w:rFonts w:ascii="Times New Roman" w:eastAsia="Times New Roman" w:hAnsi="Times New Roman" w:cs="Times New Roman"/>
          <w:sz w:val="28"/>
        </w:rPr>
        <w:t>Pain:</w:t>
      </w:r>
      <w:r w:rsidRPr="00C85AF5">
        <w:rPr>
          <w:rFonts w:ascii="Times New Roman" w:eastAsia="Times New Roman" w:hAnsi="Times New Roman" w:cs="Times New Roman"/>
          <w:spacing w:val="37"/>
          <w:sz w:val="28"/>
        </w:rPr>
        <w:t xml:space="preserve"> </w:t>
      </w:r>
      <w:r w:rsidRPr="00C85AF5">
        <w:rPr>
          <w:rFonts w:ascii="Times New Roman" w:eastAsia="Times New Roman" w:hAnsi="Times New Roman" w:cs="Times New Roman"/>
          <w:sz w:val="28"/>
        </w:rPr>
        <w:t>Assesses</w:t>
      </w:r>
      <w:r w:rsidRPr="00C85AF5">
        <w:rPr>
          <w:rFonts w:ascii="Times New Roman" w:eastAsia="Times New Roman" w:hAnsi="Times New Roman" w:cs="Times New Roman"/>
          <w:spacing w:val="35"/>
          <w:sz w:val="28"/>
        </w:rPr>
        <w:t xml:space="preserve"> </w:t>
      </w:r>
      <w:r w:rsidRPr="00C85AF5">
        <w:rPr>
          <w:rFonts w:ascii="Times New Roman" w:eastAsia="Times New Roman" w:hAnsi="Times New Roman" w:cs="Times New Roman"/>
          <w:sz w:val="28"/>
        </w:rPr>
        <w:t>the</w:t>
      </w:r>
      <w:r w:rsidRPr="00C85AF5">
        <w:rPr>
          <w:rFonts w:ascii="Times New Roman" w:eastAsia="Times New Roman" w:hAnsi="Times New Roman" w:cs="Times New Roman"/>
          <w:spacing w:val="33"/>
          <w:sz w:val="28"/>
        </w:rPr>
        <w:t xml:space="preserve"> </w:t>
      </w:r>
      <w:r w:rsidRPr="00C85AF5">
        <w:rPr>
          <w:rFonts w:ascii="Times New Roman" w:eastAsia="Times New Roman" w:hAnsi="Times New Roman" w:cs="Times New Roman"/>
          <w:sz w:val="28"/>
        </w:rPr>
        <w:t>level</w:t>
      </w:r>
      <w:r w:rsidRPr="00C85AF5">
        <w:rPr>
          <w:rFonts w:ascii="Times New Roman" w:eastAsia="Times New Roman" w:hAnsi="Times New Roman" w:cs="Times New Roman"/>
          <w:spacing w:val="35"/>
          <w:sz w:val="28"/>
        </w:rPr>
        <w:t xml:space="preserve"> </w:t>
      </w:r>
      <w:r w:rsidRPr="00C85AF5">
        <w:rPr>
          <w:rFonts w:ascii="Times New Roman" w:eastAsia="Times New Roman" w:hAnsi="Times New Roman" w:cs="Times New Roman"/>
          <w:sz w:val="28"/>
        </w:rPr>
        <w:t>of</w:t>
      </w:r>
      <w:r w:rsidRPr="00C85AF5">
        <w:rPr>
          <w:rFonts w:ascii="Times New Roman" w:eastAsia="Times New Roman" w:hAnsi="Times New Roman" w:cs="Times New Roman"/>
          <w:spacing w:val="35"/>
          <w:sz w:val="28"/>
        </w:rPr>
        <w:t xml:space="preserve"> </w:t>
      </w:r>
      <w:r w:rsidRPr="00C85AF5">
        <w:rPr>
          <w:rFonts w:ascii="Times New Roman" w:eastAsia="Times New Roman" w:hAnsi="Times New Roman" w:cs="Times New Roman"/>
          <w:sz w:val="28"/>
        </w:rPr>
        <w:t>pain</w:t>
      </w:r>
      <w:r w:rsidRPr="00C85AF5">
        <w:rPr>
          <w:rFonts w:ascii="Times New Roman" w:eastAsia="Times New Roman" w:hAnsi="Times New Roman" w:cs="Times New Roman"/>
          <w:spacing w:val="35"/>
          <w:sz w:val="28"/>
        </w:rPr>
        <w:t xml:space="preserve"> </w:t>
      </w:r>
      <w:r w:rsidRPr="00C85AF5">
        <w:rPr>
          <w:rFonts w:ascii="Times New Roman" w:eastAsia="Times New Roman" w:hAnsi="Times New Roman" w:cs="Times New Roman"/>
          <w:sz w:val="28"/>
        </w:rPr>
        <w:t>experienced</w:t>
      </w:r>
      <w:r w:rsidRPr="00C85AF5">
        <w:rPr>
          <w:rFonts w:ascii="Times New Roman" w:eastAsia="Times New Roman" w:hAnsi="Times New Roman" w:cs="Times New Roman"/>
          <w:spacing w:val="35"/>
          <w:sz w:val="28"/>
        </w:rPr>
        <w:t xml:space="preserve"> </w:t>
      </w:r>
      <w:r w:rsidRPr="00C85AF5">
        <w:rPr>
          <w:rFonts w:ascii="Times New Roman" w:eastAsia="Times New Roman" w:hAnsi="Times New Roman" w:cs="Times New Roman"/>
          <w:sz w:val="28"/>
        </w:rPr>
        <w:t>by</w:t>
      </w:r>
      <w:r w:rsidRPr="00C85AF5">
        <w:rPr>
          <w:rFonts w:ascii="Times New Roman" w:eastAsia="Times New Roman" w:hAnsi="Times New Roman" w:cs="Times New Roman"/>
          <w:spacing w:val="35"/>
          <w:sz w:val="28"/>
        </w:rPr>
        <w:t xml:space="preserve"> </w:t>
      </w:r>
      <w:r w:rsidRPr="00C85AF5">
        <w:rPr>
          <w:rFonts w:ascii="Times New Roman" w:eastAsia="Times New Roman" w:hAnsi="Times New Roman" w:cs="Times New Roman"/>
          <w:sz w:val="28"/>
        </w:rPr>
        <w:t>the</w:t>
      </w:r>
      <w:r w:rsidRPr="00C85AF5">
        <w:rPr>
          <w:rFonts w:ascii="Times New Roman" w:eastAsia="Times New Roman" w:hAnsi="Times New Roman" w:cs="Times New Roman"/>
          <w:spacing w:val="35"/>
          <w:sz w:val="28"/>
        </w:rPr>
        <w:t xml:space="preserve"> </w:t>
      </w:r>
      <w:r w:rsidRPr="00C85AF5">
        <w:rPr>
          <w:rFonts w:ascii="Times New Roman" w:eastAsia="Times New Roman" w:hAnsi="Times New Roman" w:cs="Times New Roman"/>
          <w:sz w:val="28"/>
        </w:rPr>
        <w:t>individual</w:t>
      </w:r>
      <w:r w:rsidRPr="00C85AF5">
        <w:rPr>
          <w:rFonts w:ascii="Times New Roman" w:eastAsia="Times New Roman" w:hAnsi="Times New Roman" w:cs="Times New Roman"/>
          <w:spacing w:val="34"/>
          <w:sz w:val="28"/>
        </w:rPr>
        <w:t xml:space="preserve"> </w:t>
      </w:r>
      <w:r w:rsidRPr="00C85AF5">
        <w:rPr>
          <w:rFonts w:ascii="Times New Roman" w:eastAsia="Times New Roman" w:hAnsi="Times New Roman" w:cs="Times New Roman"/>
          <w:sz w:val="28"/>
        </w:rPr>
        <w:t>during</w:t>
      </w:r>
      <w:r w:rsidRPr="00C85AF5">
        <w:rPr>
          <w:rFonts w:ascii="Times New Roman" w:eastAsia="Times New Roman" w:hAnsi="Times New Roman" w:cs="Times New Roman"/>
          <w:spacing w:val="35"/>
          <w:sz w:val="28"/>
        </w:rPr>
        <w:t xml:space="preserve"> </w:t>
      </w:r>
      <w:r w:rsidRPr="00C85AF5">
        <w:rPr>
          <w:rFonts w:ascii="Times New Roman" w:eastAsia="Times New Roman" w:hAnsi="Times New Roman" w:cs="Times New Roman"/>
          <w:sz w:val="28"/>
        </w:rPr>
        <w:t xml:space="preserve">various </w:t>
      </w:r>
      <w:r w:rsidRPr="00C85AF5">
        <w:rPr>
          <w:rFonts w:ascii="Times New Roman" w:eastAsia="Times New Roman" w:hAnsi="Times New Roman" w:cs="Times New Roman"/>
          <w:spacing w:val="-2"/>
          <w:sz w:val="28"/>
        </w:rPr>
        <w:t>activities.</w:t>
      </w:r>
    </w:p>
    <w:p w:rsidR="00C85AF5" w:rsidRPr="00C85AF5" w:rsidRDefault="00C85AF5" w:rsidP="00C85AF5">
      <w:pPr>
        <w:widowControl w:val="0"/>
        <w:numPr>
          <w:ilvl w:val="0"/>
          <w:numId w:val="6"/>
        </w:numPr>
        <w:tabs>
          <w:tab w:val="left" w:pos="395"/>
        </w:tabs>
        <w:autoSpaceDE w:val="0"/>
        <w:autoSpaceDN w:val="0"/>
        <w:spacing w:before="160" w:after="0" w:line="360" w:lineRule="auto"/>
        <w:ind w:right="126" w:firstLine="0"/>
        <w:jc w:val="both"/>
        <w:rPr>
          <w:rFonts w:ascii="Times New Roman" w:eastAsia="Times New Roman" w:hAnsi="Times New Roman" w:cs="Times New Roman"/>
          <w:sz w:val="28"/>
        </w:rPr>
      </w:pPr>
      <w:r w:rsidRPr="00C85AF5">
        <w:rPr>
          <w:rFonts w:ascii="Times New Roman" w:eastAsia="Times New Roman" w:hAnsi="Times New Roman" w:cs="Times New Roman"/>
          <w:sz w:val="28"/>
        </w:rPr>
        <w:t>Stiffness: Evaluates the degree of stiffness felt by the individual, particularly in the morning or after rest.</w:t>
      </w:r>
    </w:p>
    <w:p w:rsidR="00C85AF5" w:rsidRPr="00C85AF5" w:rsidRDefault="00C85AF5" w:rsidP="00C85AF5">
      <w:pPr>
        <w:widowControl w:val="0"/>
        <w:numPr>
          <w:ilvl w:val="0"/>
          <w:numId w:val="6"/>
        </w:numPr>
        <w:tabs>
          <w:tab w:val="left" w:pos="364"/>
        </w:tabs>
        <w:autoSpaceDE w:val="0"/>
        <w:autoSpaceDN w:val="0"/>
        <w:spacing w:before="160" w:after="0" w:line="360" w:lineRule="auto"/>
        <w:ind w:right="118" w:firstLine="0"/>
        <w:jc w:val="both"/>
        <w:rPr>
          <w:rFonts w:ascii="Times New Roman" w:eastAsia="Times New Roman" w:hAnsi="Times New Roman" w:cs="Times New Roman"/>
          <w:sz w:val="28"/>
        </w:rPr>
      </w:pPr>
      <w:r w:rsidRPr="00C85AF5">
        <w:rPr>
          <w:rFonts w:ascii="Times New Roman" w:eastAsia="Times New Roman" w:hAnsi="Times New Roman" w:cs="Times New Roman"/>
          <w:sz w:val="28"/>
        </w:rPr>
        <w:t>Physical</w:t>
      </w:r>
      <w:r w:rsidRPr="00C85AF5">
        <w:rPr>
          <w:rFonts w:ascii="Times New Roman" w:eastAsia="Times New Roman" w:hAnsi="Times New Roman" w:cs="Times New Roman"/>
          <w:spacing w:val="-18"/>
          <w:sz w:val="28"/>
        </w:rPr>
        <w:t xml:space="preserve"> </w:t>
      </w:r>
      <w:r w:rsidRPr="00C85AF5">
        <w:rPr>
          <w:rFonts w:ascii="Times New Roman" w:eastAsia="Times New Roman" w:hAnsi="Times New Roman" w:cs="Times New Roman"/>
          <w:sz w:val="28"/>
        </w:rPr>
        <w:t>Function:</w:t>
      </w:r>
      <w:r w:rsidRPr="00C85AF5">
        <w:rPr>
          <w:rFonts w:ascii="Times New Roman" w:eastAsia="Times New Roman" w:hAnsi="Times New Roman" w:cs="Times New Roman"/>
          <w:spacing w:val="-17"/>
          <w:sz w:val="28"/>
        </w:rPr>
        <w:t xml:space="preserve"> </w:t>
      </w:r>
      <w:r w:rsidRPr="00C85AF5">
        <w:rPr>
          <w:rFonts w:ascii="Times New Roman" w:eastAsia="Times New Roman" w:hAnsi="Times New Roman" w:cs="Times New Roman"/>
          <w:sz w:val="28"/>
        </w:rPr>
        <w:t>Measures</w:t>
      </w:r>
      <w:r w:rsidRPr="00C85AF5">
        <w:rPr>
          <w:rFonts w:ascii="Times New Roman" w:eastAsia="Times New Roman" w:hAnsi="Times New Roman" w:cs="Times New Roman"/>
          <w:spacing w:val="-18"/>
          <w:sz w:val="28"/>
        </w:rPr>
        <w:t xml:space="preserve"> </w:t>
      </w:r>
      <w:r w:rsidRPr="00C85AF5">
        <w:rPr>
          <w:rFonts w:ascii="Times New Roman" w:eastAsia="Times New Roman" w:hAnsi="Times New Roman" w:cs="Times New Roman"/>
          <w:sz w:val="28"/>
        </w:rPr>
        <w:t>the</w:t>
      </w:r>
      <w:r w:rsidRPr="00C85AF5">
        <w:rPr>
          <w:rFonts w:ascii="Times New Roman" w:eastAsia="Times New Roman" w:hAnsi="Times New Roman" w:cs="Times New Roman"/>
          <w:spacing w:val="-18"/>
          <w:sz w:val="28"/>
        </w:rPr>
        <w:t xml:space="preserve"> </w:t>
      </w:r>
      <w:r w:rsidRPr="00C85AF5">
        <w:rPr>
          <w:rFonts w:ascii="Times New Roman" w:eastAsia="Times New Roman" w:hAnsi="Times New Roman" w:cs="Times New Roman"/>
          <w:sz w:val="28"/>
        </w:rPr>
        <w:t>individual's</w:t>
      </w:r>
      <w:r w:rsidRPr="00C85AF5">
        <w:rPr>
          <w:rFonts w:ascii="Times New Roman" w:eastAsia="Times New Roman" w:hAnsi="Times New Roman" w:cs="Times New Roman"/>
          <w:spacing w:val="-17"/>
          <w:sz w:val="28"/>
        </w:rPr>
        <w:t xml:space="preserve"> </w:t>
      </w:r>
      <w:r w:rsidRPr="00C85AF5">
        <w:rPr>
          <w:rFonts w:ascii="Times New Roman" w:eastAsia="Times New Roman" w:hAnsi="Times New Roman" w:cs="Times New Roman"/>
          <w:sz w:val="28"/>
        </w:rPr>
        <w:t>ability</w:t>
      </w:r>
      <w:r w:rsidRPr="00C85AF5">
        <w:rPr>
          <w:rFonts w:ascii="Times New Roman" w:eastAsia="Times New Roman" w:hAnsi="Times New Roman" w:cs="Times New Roman"/>
          <w:spacing w:val="-18"/>
          <w:sz w:val="28"/>
        </w:rPr>
        <w:t xml:space="preserve"> </w:t>
      </w:r>
      <w:r w:rsidRPr="00C85AF5">
        <w:rPr>
          <w:rFonts w:ascii="Times New Roman" w:eastAsia="Times New Roman" w:hAnsi="Times New Roman" w:cs="Times New Roman"/>
          <w:sz w:val="28"/>
        </w:rPr>
        <w:t>to</w:t>
      </w:r>
      <w:r w:rsidRPr="00C85AF5">
        <w:rPr>
          <w:rFonts w:ascii="Times New Roman" w:eastAsia="Times New Roman" w:hAnsi="Times New Roman" w:cs="Times New Roman"/>
          <w:spacing w:val="-17"/>
          <w:sz w:val="28"/>
        </w:rPr>
        <w:t xml:space="preserve"> </w:t>
      </w:r>
      <w:r w:rsidRPr="00C85AF5">
        <w:rPr>
          <w:rFonts w:ascii="Times New Roman" w:eastAsia="Times New Roman" w:hAnsi="Times New Roman" w:cs="Times New Roman"/>
          <w:sz w:val="28"/>
        </w:rPr>
        <w:t>perform</w:t>
      </w:r>
      <w:r w:rsidRPr="00C85AF5">
        <w:rPr>
          <w:rFonts w:ascii="Times New Roman" w:eastAsia="Times New Roman" w:hAnsi="Times New Roman" w:cs="Times New Roman"/>
          <w:spacing w:val="-18"/>
          <w:sz w:val="28"/>
        </w:rPr>
        <w:t xml:space="preserve"> </w:t>
      </w:r>
      <w:r w:rsidRPr="00C85AF5">
        <w:rPr>
          <w:rFonts w:ascii="Times New Roman" w:eastAsia="Times New Roman" w:hAnsi="Times New Roman" w:cs="Times New Roman"/>
          <w:sz w:val="28"/>
        </w:rPr>
        <w:t>daily</w:t>
      </w:r>
      <w:r w:rsidRPr="00C85AF5">
        <w:rPr>
          <w:rFonts w:ascii="Times New Roman" w:eastAsia="Times New Roman" w:hAnsi="Times New Roman" w:cs="Times New Roman"/>
          <w:spacing w:val="-17"/>
          <w:sz w:val="28"/>
        </w:rPr>
        <w:t xml:space="preserve"> </w:t>
      </w:r>
      <w:r w:rsidRPr="00C85AF5">
        <w:rPr>
          <w:rFonts w:ascii="Times New Roman" w:eastAsia="Times New Roman" w:hAnsi="Times New Roman" w:cs="Times New Roman"/>
          <w:sz w:val="28"/>
        </w:rPr>
        <w:t>activities</w:t>
      </w:r>
      <w:r w:rsidRPr="00C85AF5">
        <w:rPr>
          <w:rFonts w:ascii="Times New Roman" w:eastAsia="Times New Roman" w:hAnsi="Times New Roman" w:cs="Times New Roman"/>
          <w:spacing w:val="-18"/>
          <w:sz w:val="28"/>
        </w:rPr>
        <w:t xml:space="preserve"> </w:t>
      </w:r>
      <w:r w:rsidRPr="00C85AF5">
        <w:rPr>
          <w:rFonts w:ascii="Times New Roman" w:eastAsia="Times New Roman" w:hAnsi="Times New Roman" w:cs="Times New Roman"/>
          <w:sz w:val="28"/>
        </w:rPr>
        <w:t xml:space="preserve">and </w:t>
      </w:r>
      <w:r w:rsidRPr="00C85AF5">
        <w:rPr>
          <w:rFonts w:ascii="Times New Roman" w:eastAsia="Times New Roman" w:hAnsi="Times New Roman" w:cs="Times New Roman"/>
          <w:spacing w:val="-2"/>
          <w:sz w:val="28"/>
        </w:rPr>
        <w:t>tasks.</w:t>
      </w:r>
    </w:p>
    <w:p w:rsidR="00C85AF5" w:rsidRPr="00C85AF5" w:rsidRDefault="00C85AF5" w:rsidP="00C85AF5">
      <w:pPr>
        <w:widowControl w:val="0"/>
        <w:autoSpaceDE w:val="0"/>
        <w:autoSpaceDN w:val="0"/>
        <w:spacing w:before="160" w:after="0" w:line="360" w:lineRule="auto"/>
        <w:ind w:left="100" w:right="120"/>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Respondents</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answer</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questions</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related</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to</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each</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subscale,</w:t>
      </w:r>
      <w:r w:rsidRPr="00C85AF5">
        <w:rPr>
          <w:rFonts w:ascii="Times New Roman" w:eastAsia="Times New Roman" w:hAnsi="Times New Roman" w:cs="Times New Roman"/>
          <w:spacing w:val="-14"/>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scores</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are</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combined to</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provide</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an</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overall</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assessment</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of</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8"/>
          <w:sz w:val="28"/>
          <w:szCs w:val="28"/>
        </w:rPr>
        <w:t xml:space="preserve"> </w:t>
      </w:r>
      <w:r w:rsidRPr="00C85AF5">
        <w:rPr>
          <w:rFonts w:ascii="Times New Roman" w:eastAsia="Times New Roman" w:hAnsi="Times New Roman" w:cs="Times New Roman"/>
          <w:sz w:val="28"/>
          <w:szCs w:val="28"/>
        </w:rPr>
        <w:t>impact</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of</w:t>
      </w:r>
      <w:r w:rsidRPr="00C85AF5">
        <w:rPr>
          <w:rFonts w:ascii="Times New Roman" w:eastAsia="Times New Roman" w:hAnsi="Times New Roman" w:cs="Times New Roman"/>
          <w:spacing w:val="-8"/>
          <w:sz w:val="28"/>
          <w:szCs w:val="28"/>
        </w:rPr>
        <w:t xml:space="preserve"> </w:t>
      </w:r>
      <w:r w:rsidRPr="00C85AF5">
        <w:rPr>
          <w:rFonts w:ascii="Times New Roman" w:eastAsia="Times New Roman" w:hAnsi="Times New Roman" w:cs="Times New Roman"/>
          <w:sz w:val="28"/>
          <w:szCs w:val="28"/>
        </w:rPr>
        <w:t>osteoarthritis</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on</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a</w:t>
      </w:r>
      <w:r w:rsidRPr="00C85AF5">
        <w:rPr>
          <w:rFonts w:ascii="Times New Roman" w:eastAsia="Times New Roman" w:hAnsi="Times New Roman" w:cs="Times New Roman"/>
          <w:spacing w:val="-8"/>
          <w:sz w:val="28"/>
          <w:szCs w:val="28"/>
        </w:rPr>
        <w:t xml:space="preserve"> </w:t>
      </w:r>
      <w:r w:rsidRPr="00C85AF5">
        <w:rPr>
          <w:rFonts w:ascii="Times New Roman" w:eastAsia="Times New Roman" w:hAnsi="Times New Roman" w:cs="Times New Roman"/>
          <w:sz w:val="28"/>
          <w:szCs w:val="28"/>
        </w:rPr>
        <w:t>person's</w:t>
      </w:r>
      <w:r w:rsidRPr="00C85AF5">
        <w:rPr>
          <w:rFonts w:ascii="Times New Roman" w:eastAsia="Times New Roman" w:hAnsi="Times New Roman" w:cs="Times New Roman"/>
          <w:spacing w:val="-5"/>
          <w:sz w:val="28"/>
          <w:szCs w:val="28"/>
        </w:rPr>
        <w:t xml:space="preserve"> </w:t>
      </w:r>
      <w:r w:rsidRPr="00C85AF5">
        <w:rPr>
          <w:rFonts w:ascii="Times New Roman" w:eastAsia="Times New Roman" w:hAnsi="Times New Roman" w:cs="Times New Roman"/>
          <w:sz w:val="28"/>
          <w:szCs w:val="28"/>
        </w:rPr>
        <w:t>quality of</w:t>
      </w:r>
      <w:r w:rsidRPr="00C85AF5">
        <w:rPr>
          <w:rFonts w:ascii="Times New Roman" w:eastAsia="Times New Roman" w:hAnsi="Times New Roman" w:cs="Times New Roman"/>
          <w:spacing w:val="-3"/>
          <w:sz w:val="28"/>
          <w:szCs w:val="28"/>
        </w:rPr>
        <w:t xml:space="preserve"> </w:t>
      </w:r>
      <w:r w:rsidRPr="00C85AF5">
        <w:rPr>
          <w:rFonts w:ascii="Times New Roman" w:eastAsia="Times New Roman" w:hAnsi="Times New Roman" w:cs="Times New Roman"/>
          <w:sz w:val="28"/>
          <w:szCs w:val="28"/>
        </w:rPr>
        <w:t>life.</w:t>
      </w:r>
      <w:r w:rsidRPr="00C85AF5">
        <w:rPr>
          <w:rFonts w:ascii="Times New Roman" w:eastAsia="Times New Roman" w:hAnsi="Times New Roman" w:cs="Times New Roman"/>
          <w:spacing w:val="-4"/>
          <w:sz w:val="28"/>
          <w:szCs w:val="28"/>
        </w:rPr>
        <w:t xml:space="preserve"> </w:t>
      </w:r>
      <w:r w:rsidRPr="00C85AF5">
        <w:rPr>
          <w:rFonts w:ascii="Times New Roman" w:eastAsia="Times New Roman" w:hAnsi="Times New Roman" w:cs="Times New Roman"/>
          <w:sz w:val="28"/>
          <w:szCs w:val="28"/>
        </w:rPr>
        <w:t>It's</w:t>
      </w:r>
      <w:r w:rsidRPr="00C85AF5">
        <w:rPr>
          <w:rFonts w:ascii="Times New Roman" w:eastAsia="Times New Roman" w:hAnsi="Times New Roman" w:cs="Times New Roman"/>
          <w:spacing w:val="-6"/>
          <w:sz w:val="28"/>
          <w:szCs w:val="28"/>
        </w:rPr>
        <w:t xml:space="preserve"> </w:t>
      </w:r>
      <w:r w:rsidRPr="00C85AF5">
        <w:rPr>
          <w:rFonts w:ascii="Times New Roman" w:eastAsia="Times New Roman" w:hAnsi="Times New Roman" w:cs="Times New Roman"/>
          <w:sz w:val="28"/>
          <w:szCs w:val="28"/>
        </w:rPr>
        <w:t>often</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used</w:t>
      </w:r>
      <w:r w:rsidRPr="00C85AF5">
        <w:rPr>
          <w:rFonts w:ascii="Times New Roman" w:eastAsia="Times New Roman" w:hAnsi="Times New Roman" w:cs="Times New Roman"/>
          <w:spacing w:val="-6"/>
          <w:sz w:val="28"/>
          <w:szCs w:val="28"/>
        </w:rPr>
        <w:t xml:space="preserve"> </w:t>
      </w:r>
      <w:r w:rsidRPr="00C85AF5">
        <w:rPr>
          <w:rFonts w:ascii="Times New Roman" w:eastAsia="Times New Roman" w:hAnsi="Times New Roman" w:cs="Times New Roman"/>
          <w:sz w:val="28"/>
          <w:szCs w:val="28"/>
        </w:rPr>
        <w:t>in</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clinical</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research and</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patient</w:t>
      </w:r>
      <w:r w:rsidRPr="00C85AF5">
        <w:rPr>
          <w:rFonts w:ascii="Times New Roman" w:eastAsia="Times New Roman" w:hAnsi="Times New Roman" w:cs="Times New Roman"/>
          <w:spacing w:val="-2"/>
          <w:sz w:val="28"/>
          <w:szCs w:val="28"/>
        </w:rPr>
        <w:t xml:space="preserve"> </w:t>
      </w:r>
      <w:r w:rsidRPr="00C85AF5">
        <w:rPr>
          <w:rFonts w:ascii="Times New Roman" w:eastAsia="Times New Roman" w:hAnsi="Times New Roman" w:cs="Times New Roman"/>
          <w:sz w:val="28"/>
          <w:szCs w:val="28"/>
        </w:rPr>
        <w:t>care</w:t>
      </w:r>
      <w:r w:rsidRPr="00C85AF5">
        <w:rPr>
          <w:rFonts w:ascii="Times New Roman" w:eastAsia="Times New Roman" w:hAnsi="Times New Roman" w:cs="Times New Roman"/>
          <w:spacing w:val="-3"/>
          <w:sz w:val="28"/>
          <w:szCs w:val="28"/>
        </w:rPr>
        <w:t xml:space="preserve"> </w:t>
      </w:r>
      <w:r w:rsidRPr="00C85AF5">
        <w:rPr>
          <w:rFonts w:ascii="Times New Roman" w:eastAsia="Times New Roman" w:hAnsi="Times New Roman" w:cs="Times New Roman"/>
          <w:sz w:val="28"/>
          <w:szCs w:val="28"/>
        </w:rPr>
        <w:t>to</w:t>
      </w:r>
      <w:r w:rsidRPr="00C85AF5">
        <w:rPr>
          <w:rFonts w:ascii="Times New Roman" w:eastAsia="Times New Roman" w:hAnsi="Times New Roman" w:cs="Times New Roman"/>
          <w:spacing w:val="-6"/>
          <w:sz w:val="28"/>
          <w:szCs w:val="28"/>
        </w:rPr>
        <w:t xml:space="preserve"> </w:t>
      </w:r>
      <w:r w:rsidRPr="00C85AF5">
        <w:rPr>
          <w:rFonts w:ascii="Times New Roman" w:eastAsia="Times New Roman" w:hAnsi="Times New Roman" w:cs="Times New Roman"/>
          <w:sz w:val="28"/>
          <w:szCs w:val="28"/>
        </w:rPr>
        <w:t>quantify</w:t>
      </w:r>
      <w:r w:rsidRPr="00C85AF5">
        <w:rPr>
          <w:rFonts w:ascii="Times New Roman" w:eastAsia="Times New Roman" w:hAnsi="Times New Roman" w:cs="Times New Roman"/>
          <w:spacing w:val="-6"/>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6"/>
          <w:sz w:val="28"/>
          <w:szCs w:val="28"/>
        </w:rPr>
        <w:t xml:space="preserve"> </w:t>
      </w:r>
      <w:r w:rsidRPr="00C85AF5">
        <w:rPr>
          <w:rFonts w:ascii="Times New Roman" w:eastAsia="Times New Roman" w:hAnsi="Times New Roman" w:cs="Times New Roman"/>
          <w:sz w:val="28"/>
          <w:szCs w:val="28"/>
        </w:rPr>
        <w:t>severity</w:t>
      </w:r>
      <w:r w:rsidRPr="00C85AF5">
        <w:rPr>
          <w:rFonts w:ascii="Times New Roman" w:eastAsia="Times New Roman" w:hAnsi="Times New Roman" w:cs="Times New Roman"/>
          <w:spacing w:val="-6"/>
          <w:sz w:val="28"/>
          <w:szCs w:val="28"/>
        </w:rPr>
        <w:t xml:space="preserve"> </w:t>
      </w:r>
      <w:r w:rsidRPr="00C85AF5">
        <w:rPr>
          <w:rFonts w:ascii="Times New Roman" w:eastAsia="Times New Roman" w:hAnsi="Times New Roman" w:cs="Times New Roman"/>
          <w:sz w:val="28"/>
          <w:szCs w:val="28"/>
        </w:rPr>
        <w:t>of osteoarthritis and monitor changes over time.</w:t>
      </w:r>
    </w:p>
    <w:p w:rsidR="00C85AF5" w:rsidRPr="00C85AF5" w:rsidRDefault="00C85AF5" w:rsidP="00C85AF5">
      <w:pPr>
        <w:widowControl w:val="0"/>
        <w:autoSpaceDE w:val="0"/>
        <w:autoSpaceDN w:val="0"/>
        <w:spacing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160"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160"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160"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160"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160" w:after="0" w:line="240" w:lineRule="auto"/>
        <w:jc w:val="both"/>
        <w:rPr>
          <w:rFonts w:ascii="Times New Roman" w:eastAsia="Times New Roman" w:hAnsi="Times New Roman" w:cs="Times New Roman"/>
          <w:sz w:val="28"/>
          <w:szCs w:val="28"/>
        </w:rPr>
      </w:pPr>
    </w:p>
    <w:p w:rsidR="00C85AF5" w:rsidRPr="00C85AF5" w:rsidRDefault="00C85AF5" w:rsidP="00C85AF5">
      <w:pPr>
        <w:widowControl w:val="0"/>
        <w:numPr>
          <w:ilvl w:val="1"/>
          <w:numId w:val="7"/>
        </w:numPr>
        <w:tabs>
          <w:tab w:val="left" w:pos="588"/>
        </w:tabs>
        <w:autoSpaceDE w:val="0"/>
        <w:autoSpaceDN w:val="0"/>
        <w:spacing w:before="1" w:after="0" w:line="240" w:lineRule="auto"/>
        <w:ind w:left="588" w:hanging="488"/>
        <w:jc w:val="both"/>
        <w:outlineLvl w:val="0"/>
        <w:rPr>
          <w:rFonts w:ascii="Times New Roman" w:eastAsia="Times New Roman" w:hAnsi="Times New Roman" w:cs="Times New Roman"/>
          <w:b/>
          <w:bCs/>
          <w:sz w:val="28"/>
          <w:szCs w:val="28"/>
        </w:rPr>
      </w:pPr>
      <w:r w:rsidRPr="00C85AF5">
        <w:rPr>
          <w:rFonts w:ascii="Times New Roman" w:eastAsia="Times New Roman" w:hAnsi="Times New Roman" w:cs="Times New Roman"/>
          <w:b/>
          <w:bCs/>
          <w:sz w:val="28"/>
          <w:szCs w:val="28"/>
        </w:rPr>
        <w:t>Pain</w:t>
      </w:r>
      <w:r w:rsidRPr="00C85AF5">
        <w:rPr>
          <w:rFonts w:ascii="Times New Roman" w:eastAsia="Times New Roman" w:hAnsi="Times New Roman" w:cs="Times New Roman"/>
          <w:b/>
          <w:bCs/>
          <w:spacing w:val="-2"/>
          <w:sz w:val="28"/>
          <w:szCs w:val="28"/>
        </w:rPr>
        <w:t xml:space="preserve"> evaluation</w:t>
      </w:r>
    </w:p>
    <w:p w:rsidR="00C85AF5" w:rsidRPr="00C85AF5" w:rsidRDefault="00C85AF5" w:rsidP="00C85AF5">
      <w:pPr>
        <w:widowControl w:val="0"/>
        <w:autoSpaceDE w:val="0"/>
        <w:autoSpaceDN w:val="0"/>
        <w:spacing w:before="321" w:after="0" w:line="360" w:lineRule="auto"/>
        <w:ind w:left="100" w:right="121"/>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Pain evaluation is a crucial process in healthcare, involving the assessment and understanding</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of</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an</w:t>
      </w:r>
      <w:r w:rsidRPr="00C85AF5">
        <w:rPr>
          <w:rFonts w:ascii="Times New Roman" w:eastAsia="Times New Roman" w:hAnsi="Times New Roman" w:cs="Times New Roman"/>
          <w:spacing w:val="-8"/>
          <w:sz w:val="28"/>
          <w:szCs w:val="28"/>
        </w:rPr>
        <w:t xml:space="preserve"> </w:t>
      </w:r>
      <w:r w:rsidRPr="00C85AF5">
        <w:rPr>
          <w:rFonts w:ascii="Times New Roman" w:eastAsia="Times New Roman" w:hAnsi="Times New Roman" w:cs="Times New Roman"/>
          <w:sz w:val="28"/>
          <w:szCs w:val="28"/>
        </w:rPr>
        <w:t>individual's</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pain</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experience.</w:t>
      </w:r>
      <w:r w:rsidRPr="00C85AF5">
        <w:rPr>
          <w:rFonts w:ascii="Times New Roman" w:eastAsia="Times New Roman" w:hAnsi="Times New Roman" w:cs="Times New Roman"/>
          <w:spacing w:val="-8"/>
          <w:sz w:val="28"/>
          <w:szCs w:val="28"/>
        </w:rPr>
        <w:t xml:space="preserve"> </w:t>
      </w:r>
      <w:r w:rsidRPr="00C85AF5">
        <w:rPr>
          <w:rFonts w:ascii="Times New Roman" w:eastAsia="Times New Roman" w:hAnsi="Times New Roman" w:cs="Times New Roman"/>
          <w:sz w:val="28"/>
          <w:szCs w:val="28"/>
        </w:rPr>
        <w:t>Accurate</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evaluation</w:t>
      </w:r>
      <w:r w:rsidRPr="00C85AF5">
        <w:rPr>
          <w:rFonts w:ascii="Times New Roman" w:eastAsia="Times New Roman" w:hAnsi="Times New Roman" w:cs="Times New Roman"/>
          <w:spacing w:val="-8"/>
          <w:sz w:val="28"/>
          <w:szCs w:val="28"/>
        </w:rPr>
        <w:t xml:space="preserve"> </w:t>
      </w:r>
      <w:r w:rsidRPr="00C85AF5">
        <w:rPr>
          <w:rFonts w:ascii="Times New Roman" w:eastAsia="Times New Roman" w:hAnsi="Times New Roman" w:cs="Times New Roman"/>
          <w:sz w:val="28"/>
          <w:szCs w:val="28"/>
        </w:rPr>
        <w:t>by</w:t>
      </w:r>
      <w:r w:rsidRPr="00C85AF5">
        <w:rPr>
          <w:rFonts w:ascii="Times New Roman" w:eastAsia="Times New Roman" w:hAnsi="Times New Roman" w:cs="Times New Roman"/>
          <w:spacing w:val="-8"/>
          <w:sz w:val="28"/>
          <w:szCs w:val="28"/>
        </w:rPr>
        <w:t xml:space="preserve"> </w:t>
      </w:r>
      <w:r w:rsidRPr="00C85AF5">
        <w:rPr>
          <w:rFonts w:ascii="Times New Roman" w:eastAsia="Times New Roman" w:hAnsi="Times New Roman" w:cs="Times New Roman"/>
          <w:sz w:val="28"/>
          <w:szCs w:val="28"/>
        </w:rPr>
        <w:lastRenderedPageBreak/>
        <w:t>healthcare providers is essential for determining the cause, severity, and impact of pain on a person's</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overall</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well-being,</w:t>
      </w:r>
      <w:r w:rsidRPr="00C85AF5">
        <w:rPr>
          <w:rFonts w:ascii="Times New Roman" w:eastAsia="Times New Roman" w:hAnsi="Times New Roman" w:cs="Times New Roman"/>
          <w:spacing w:val="-8"/>
          <w:sz w:val="28"/>
          <w:szCs w:val="28"/>
        </w:rPr>
        <w:t xml:space="preserve"> </w:t>
      </w:r>
      <w:r w:rsidRPr="00C85AF5">
        <w:rPr>
          <w:rFonts w:ascii="Times New Roman" w:eastAsia="Times New Roman" w:hAnsi="Times New Roman" w:cs="Times New Roman"/>
          <w:sz w:val="28"/>
          <w:szCs w:val="28"/>
        </w:rPr>
        <w:t>thereby</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guiding</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appropriate</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treatment</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7"/>
          <w:sz w:val="28"/>
          <w:szCs w:val="28"/>
        </w:rPr>
        <w:t xml:space="preserve"> </w:t>
      </w:r>
      <w:r w:rsidRPr="00C85AF5">
        <w:rPr>
          <w:rFonts w:ascii="Times New Roman" w:eastAsia="Times New Roman" w:hAnsi="Times New Roman" w:cs="Times New Roman"/>
          <w:sz w:val="28"/>
          <w:szCs w:val="28"/>
        </w:rPr>
        <w:t>management strategies. Using the Visual Analog Scale (VAS), patients were provided with a horizontal paper spanning 10 cm, marked with numbers from 1 to 10. They were instructed</w:t>
      </w:r>
      <w:r w:rsidRPr="00C85AF5">
        <w:rPr>
          <w:rFonts w:ascii="Times New Roman" w:eastAsia="Times New Roman" w:hAnsi="Times New Roman" w:cs="Times New Roman"/>
          <w:spacing w:val="-9"/>
          <w:sz w:val="28"/>
          <w:szCs w:val="28"/>
        </w:rPr>
        <w:t xml:space="preserve"> </w:t>
      </w:r>
      <w:r w:rsidRPr="00C85AF5">
        <w:rPr>
          <w:rFonts w:ascii="Times New Roman" w:eastAsia="Times New Roman" w:hAnsi="Times New Roman" w:cs="Times New Roman"/>
          <w:sz w:val="28"/>
          <w:szCs w:val="28"/>
        </w:rPr>
        <w:t>to</w:t>
      </w:r>
      <w:r w:rsidRPr="00C85AF5">
        <w:rPr>
          <w:rFonts w:ascii="Times New Roman" w:eastAsia="Times New Roman" w:hAnsi="Times New Roman" w:cs="Times New Roman"/>
          <w:spacing w:val="-9"/>
          <w:sz w:val="28"/>
          <w:szCs w:val="28"/>
        </w:rPr>
        <w:t xml:space="preserve"> </w:t>
      </w:r>
      <w:r w:rsidRPr="00C85AF5">
        <w:rPr>
          <w:rFonts w:ascii="Times New Roman" w:eastAsia="Times New Roman" w:hAnsi="Times New Roman" w:cs="Times New Roman"/>
          <w:sz w:val="28"/>
          <w:szCs w:val="28"/>
        </w:rPr>
        <w:t>rate</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their</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pain,</w:t>
      </w:r>
      <w:r w:rsidRPr="00C85AF5">
        <w:rPr>
          <w:rFonts w:ascii="Times New Roman" w:eastAsia="Times New Roman" w:hAnsi="Times New Roman" w:cs="Times New Roman"/>
          <w:spacing w:val="-11"/>
          <w:sz w:val="28"/>
          <w:szCs w:val="28"/>
        </w:rPr>
        <w:t xml:space="preserve"> </w:t>
      </w:r>
      <w:r w:rsidRPr="00C85AF5">
        <w:rPr>
          <w:rFonts w:ascii="Times New Roman" w:eastAsia="Times New Roman" w:hAnsi="Times New Roman" w:cs="Times New Roman"/>
          <w:sz w:val="28"/>
          <w:szCs w:val="28"/>
        </w:rPr>
        <w:t>with</w:t>
      </w:r>
      <w:r w:rsidRPr="00C85AF5">
        <w:rPr>
          <w:rFonts w:ascii="Times New Roman" w:eastAsia="Times New Roman" w:hAnsi="Times New Roman" w:cs="Times New Roman"/>
          <w:spacing w:val="-9"/>
          <w:sz w:val="28"/>
          <w:szCs w:val="28"/>
        </w:rPr>
        <w:t xml:space="preserve"> </w:t>
      </w:r>
      <w:r w:rsidRPr="00C85AF5">
        <w:rPr>
          <w:rFonts w:ascii="Times New Roman" w:eastAsia="Times New Roman" w:hAnsi="Times New Roman" w:cs="Times New Roman"/>
          <w:sz w:val="28"/>
          <w:szCs w:val="28"/>
        </w:rPr>
        <w:t>'0'</w:t>
      </w:r>
      <w:r w:rsidRPr="00C85AF5">
        <w:rPr>
          <w:rFonts w:ascii="Times New Roman" w:eastAsia="Times New Roman" w:hAnsi="Times New Roman" w:cs="Times New Roman"/>
          <w:spacing w:val="-10"/>
          <w:sz w:val="28"/>
          <w:szCs w:val="28"/>
        </w:rPr>
        <w:t xml:space="preserve"> </w:t>
      </w:r>
      <w:r w:rsidRPr="00C85AF5">
        <w:rPr>
          <w:rFonts w:ascii="Times New Roman" w:eastAsia="Times New Roman" w:hAnsi="Times New Roman" w:cs="Times New Roman"/>
          <w:sz w:val="28"/>
          <w:szCs w:val="28"/>
        </w:rPr>
        <w:t>representing</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no</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pain</w:t>
      </w:r>
      <w:r w:rsidRPr="00C85AF5">
        <w:rPr>
          <w:rFonts w:ascii="Times New Roman" w:eastAsia="Times New Roman" w:hAnsi="Times New Roman" w:cs="Times New Roman"/>
          <w:spacing w:val="-9"/>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9"/>
          <w:sz w:val="28"/>
          <w:szCs w:val="28"/>
        </w:rPr>
        <w:t xml:space="preserve"> </w:t>
      </w:r>
      <w:r w:rsidRPr="00C85AF5">
        <w:rPr>
          <w:rFonts w:ascii="Times New Roman" w:eastAsia="Times New Roman" w:hAnsi="Times New Roman" w:cs="Times New Roman"/>
          <w:sz w:val="28"/>
          <w:szCs w:val="28"/>
        </w:rPr>
        <w:t>'10'</w:t>
      </w:r>
      <w:r w:rsidRPr="00C85AF5">
        <w:rPr>
          <w:rFonts w:ascii="Times New Roman" w:eastAsia="Times New Roman" w:hAnsi="Times New Roman" w:cs="Times New Roman"/>
          <w:spacing w:val="-13"/>
          <w:sz w:val="28"/>
          <w:szCs w:val="28"/>
        </w:rPr>
        <w:t xml:space="preserve"> </w:t>
      </w:r>
      <w:r w:rsidRPr="00C85AF5">
        <w:rPr>
          <w:rFonts w:ascii="Times New Roman" w:eastAsia="Times New Roman" w:hAnsi="Times New Roman" w:cs="Times New Roman"/>
          <w:sz w:val="28"/>
          <w:szCs w:val="28"/>
        </w:rPr>
        <w:t>indicating</w:t>
      </w:r>
      <w:r w:rsidRPr="00C85AF5">
        <w:rPr>
          <w:rFonts w:ascii="Times New Roman" w:eastAsia="Times New Roman" w:hAnsi="Times New Roman" w:cs="Times New Roman"/>
          <w:spacing w:val="-12"/>
          <w:sz w:val="28"/>
          <w:szCs w:val="28"/>
        </w:rPr>
        <w:t xml:space="preserve"> </w:t>
      </w:r>
      <w:r w:rsidRPr="00C85AF5">
        <w:rPr>
          <w:rFonts w:ascii="Times New Roman" w:eastAsia="Times New Roman" w:hAnsi="Times New Roman" w:cs="Times New Roman"/>
          <w:sz w:val="28"/>
          <w:szCs w:val="28"/>
        </w:rPr>
        <w:t>the</w:t>
      </w:r>
      <w:r w:rsidRPr="00C85AF5">
        <w:rPr>
          <w:rFonts w:ascii="Times New Roman" w:eastAsia="Times New Roman" w:hAnsi="Times New Roman" w:cs="Times New Roman"/>
          <w:spacing w:val="-10"/>
          <w:sz w:val="28"/>
          <w:szCs w:val="28"/>
        </w:rPr>
        <w:t xml:space="preserve"> </w:t>
      </w:r>
      <w:r w:rsidRPr="00C85AF5">
        <w:rPr>
          <w:rFonts w:ascii="Times New Roman" w:eastAsia="Times New Roman" w:hAnsi="Times New Roman" w:cs="Times New Roman"/>
          <w:sz w:val="28"/>
          <w:szCs w:val="28"/>
        </w:rPr>
        <w:t>most intense pain they had experienced in their life.</w:t>
      </w:r>
    </w:p>
    <w:p w:rsidR="00C85AF5" w:rsidRPr="00C85AF5" w:rsidRDefault="00C85AF5" w:rsidP="00C85AF5">
      <w:pPr>
        <w:widowControl w:val="0"/>
        <w:autoSpaceDE w:val="0"/>
        <w:autoSpaceDN w:val="0"/>
        <w:spacing w:before="321" w:after="0" w:line="360" w:lineRule="auto"/>
        <w:ind w:left="100" w:right="121"/>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321" w:after="0" w:line="360" w:lineRule="auto"/>
        <w:ind w:left="100" w:right="121"/>
        <w:jc w:val="both"/>
        <w:rPr>
          <w:rFonts w:ascii="Times New Roman" w:eastAsia="Times New Roman" w:hAnsi="Times New Roman" w:cs="Times New Roman"/>
          <w:sz w:val="28"/>
          <w:szCs w:val="28"/>
        </w:rPr>
      </w:pPr>
    </w:p>
    <w:p w:rsidR="00C85AF5" w:rsidRPr="00C85AF5" w:rsidRDefault="00C85AF5" w:rsidP="00C85AF5">
      <w:pPr>
        <w:widowControl w:val="0"/>
        <w:autoSpaceDE w:val="0"/>
        <w:autoSpaceDN w:val="0"/>
        <w:spacing w:before="321" w:after="0" w:line="360" w:lineRule="auto"/>
        <w:ind w:left="100" w:right="121"/>
        <w:jc w:val="both"/>
        <w:rPr>
          <w:rFonts w:ascii="Times New Roman" w:eastAsia="Times New Roman" w:hAnsi="Times New Roman" w:cs="Times New Roman"/>
          <w:sz w:val="28"/>
          <w:szCs w:val="28"/>
        </w:rPr>
      </w:pPr>
    </w:p>
    <w:p w:rsidR="00C85AF5" w:rsidRPr="00C85AF5" w:rsidRDefault="00C85AF5" w:rsidP="00C85AF5">
      <w:pPr>
        <w:widowControl w:val="0"/>
        <w:numPr>
          <w:ilvl w:val="1"/>
          <w:numId w:val="7"/>
        </w:numPr>
        <w:tabs>
          <w:tab w:val="left" w:pos="591"/>
        </w:tabs>
        <w:autoSpaceDE w:val="0"/>
        <w:autoSpaceDN w:val="0"/>
        <w:spacing w:before="60" w:after="0" w:line="240" w:lineRule="auto"/>
        <w:ind w:left="591" w:hanging="491"/>
        <w:jc w:val="both"/>
        <w:outlineLvl w:val="0"/>
        <w:rPr>
          <w:rFonts w:ascii="Times New Roman" w:eastAsia="Times New Roman" w:hAnsi="Times New Roman" w:cs="Times New Roman"/>
          <w:b/>
          <w:bCs/>
          <w:sz w:val="28"/>
          <w:szCs w:val="28"/>
        </w:rPr>
      </w:pPr>
      <w:r w:rsidRPr="00C85AF5">
        <w:rPr>
          <w:rFonts w:ascii="Times New Roman" w:eastAsia="Times New Roman" w:hAnsi="Times New Roman" w:cs="Times New Roman"/>
          <w:b/>
          <w:bCs/>
          <w:sz w:val="28"/>
          <w:szCs w:val="28"/>
        </w:rPr>
        <w:t>Statistical</w:t>
      </w:r>
      <w:r w:rsidRPr="00C85AF5">
        <w:rPr>
          <w:rFonts w:ascii="Times New Roman" w:eastAsia="Times New Roman" w:hAnsi="Times New Roman" w:cs="Times New Roman"/>
          <w:b/>
          <w:bCs/>
          <w:spacing w:val="-14"/>
          <w:sz w:val="28"/>
          <w:szCs w:val="28"/>
        </w:rPr>
        <w:t xml:space="preserve"> </w:t>
      </w:r>
      <w:r w:rsidRPr="00C85AF5">
        <w:rPr>
          <w:rFonts w:ascii="Times New Roman" w:eastAsia="Times New Roman" w:hAnsi="Times New Roman" w:cs="Times New Roman"/>
          <w:b/>
          <w:bCs/>
          <w:spacing w:val="-2"/>
          <w:sz w:val="28"/>
          <w:szCs w:val="28"/>
        </w:rPr>
        <w:t>Analysis</w:t>
      </w:r>
    </w:p>
    <w:p w:rsidR="00C85AF5" w:rsidRPr="00C85AF5" w:rsidRDefault="00C85AF5" w:rsidP="00C85AF5">
      <w:pPr>
        <w:widowControl w:val="0"/>
        <w:autoSpaceDE w:val="0"/>
        <w:autoSpaceDN w:val="0"/>
        <w:spacing w:before="322" w:after="0" w:line="360" w:lineRule="auto"/>
        <w:ind w:left="100" w:right="120"/>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The data was analyzed using SPSS software version (26). The results are shown in descriptive</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statistics</w:t>
      </w:r>
      <w:r w:rsidRPr="00C85AF5">
        <w:rPr>
          <w:rFonts w:ascii="Times New Roman" w:eastAsia="Times New Roman" w:hAnsi="Times New Roman" w:cs="Times New Roman"/>
          <w:spacing w:val="-17"/>
          <w:sz w:val="28"/>
          <w:szCs w:val="28"/>
        </w:rPr>
        <w:t xml:space="preserve"> </w:t>
      </w:r>
      <w:r w:rsidRPr="00C85AF5">
        <w:rPr>
          <w:rFonts w:ascii="Times New Roman" w:eastAsia="Times New Roman" w:hAnsi="Times New Roman" w:cs="Times New Roman"/>
          <w:sz w:val="28"/>
          <w:szCs w:val="28"/>
        </w:rPr>
        <w:t>such</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as,</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mean</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and</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standard</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deviation</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for</w:t>
      </w:r>
      <w:r w:rsidRPr="00C85AF5">
        <w:rPr>
          <w:rFonts w:ascii="Times New Roman" w:eastAsia="Times New Roman" w:hAnsi="Times New Roman" w:cs="Times New Roman"/>
          <w:spacing w:val="-16"/>
          <w:sz w:val="28"/>
          <w:szCs w:val="28"/>
        </w:rPr>
        <w:t xml:space="preserve"> </w:t>
      </w:r>
      <w:r w:rsidRPr="00C85AF5">
        <w:rPr>
          <w:rFonts w:ascii="Times New Roman" w:eastAsia="Times New Roman" w:hAnsi="Times New Roman" w:cs="Times New Roman"/>
          <w:sz w:val="28"/>
          <w:szCs w:val="28"/>
        </w:rPr>
        <w:t>each</w:t>
      </w:r>
      <w:r w:rsidRPr="00C85AF5">
        <w:rPr>
          <w:rFonts w:ascii="Times New Roman" w:eastAsia="Times New Roman" w:hAnsi="Times New Roman" w:cs="Times New Roman"/>
          <w:spacing w:val="-15"/>
          <w:sz w:val="28"/>
          <w:szCs w:val="28"/>
        </w:rPr>
        <w:t xml:space="preserve"> </w:t>
      </w:r>
      <w:r w:rsidRPr="00C85AF5">
        <w:rPr>
          <w:rFonts w:ascii="Times New Roman" w:eastAsia="Times New Roman" w:hAnsi="Times New Roman" w:cs="Times New Roman"/>
          <w:sz w:val="28"/>
          <w:szCs w:val="28"/>
        </w:rPr>
        <w:t>group.</w:t>
      </w:r>
      <w:r w:rsidRPr="00C85AF5">
        <w:rPr>
          <w:rFonts w:ascii="Times New Roman" w:eastAsia="Times New Roman" w:hAnsi="Times New Roman" w:cs="Times New Roman"/>
          <w:spacing w:val="-18"/>
          <w:sz w:val="28"/>
          <w:szCs w:val="28"/>
        </w:rPr>
        <w:t xml:space="preserve"> </w:t>
      </w:r>
      <w:r w:rsidRPr="00C85AF5">
        <w:rPr>
          <w:rFonts w:ascii="Times New Roman" w:eastAsia="Times New Roman" w:hAnsi="Times New Roman" w:cs="Times New Roman"/>
          <w:sz w:val="28"/>
          <w:szCs w:val="28"/>
        </w:rPr>
        <w:t>Normality assumptions were assessed and based on their results, Parametric approach was utilized like Paired Sample t-test, to evaluate the methods per the each follow up. For all test p &lt; 0.05 was considered to be statistically significant.</w:t>
      </w:r>
    </w:p>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Pr="00C85AF5" w:rsidRDefault="00C85AF5" w:rsidP="00C85AF5">
      <w:pPr>
        <w:spacing w:after="200" w:line="276" w:lineRule="auto"/>
        <w:jc w:val="center"/>
        <w:rPr>
          <w:rFonts w:ascii="Times New Roman" w:eastAsia="Calibri" w:hAnsi="Times New Roman" w:cs="Times New Roman"/>
          <w:b/>
          <w:bCs/>
          <w:sz w:val="32"/>
          <w:szCs w:val="32"/>
        </w:rPr>
      </w:pPr>
      <w:r w:rsidRPr="00C85AF5">
        <w:rPr>
          <w:rFonts w:ascii="Times New Roman" w:eastAsia="Calibri" w:hAnsi="Times New Roman" w:cs="Times New Roman"/>
          <w:b/>
          <w:bCs/>
          <w:sz w:val="32"/>
          <w:szCs w:val="32"/>
        </w:rPr>
        <w:lastRenderedPageBreak/>
        <w:t>4. Results and Discussion</w:t>
      </w:r>
    </w:p>
    <w:p w:rsidR="00C85AF5" w:rsidRPr="00C85AF5" w:rsidRDefault="00C85AF5" w:rsidP="00C85AF5">
      <w:pPr>
        <w:spacing w:after="200" w:line="276" w:lineRule="auto"/>
        <w:jc w:val="center"/>
        <w:rPr>
          <w:rFonts w:ascii="Times New Roman" w:eastAsia="Calibri" w:hAnsi="Times New Roman" w:cs="Times New Roman"/>
          <w:b/>
          <w:bCs/>
          <w:sz w:val="32"/>
          <w:szCs w:val="32"/>
        </w:rPr>
      </w:pPr>
    </w:p>
    <w:p w:rsidR="00C85AF5" w:rsidRPr="00C85AF5" w:rsidRDefault="00C85AF5" w:rsidP="00C85AF5">
      <w:pPr>
        <w:spacing w:after="200" w:line="276" w:lineRule="auto"/>
        <w:rPr>
          <w:rFonts w:ascii="Times New Roman" w:eastAsia="Calibri" w:hAnsi="Times New Roman" w:cs="Times New Roman"/>
          <w:b/>
          <w:bCs/>
          <w:sz w:val="28"/>
          <w:szCs w:val="28"/>
        </w:rPr>
      </w:pPr>
      <w:r w:rsidRPr="00C85AF5">
        <w:rPr>
          <w:rFonts w:ascii="Times New Roman" w:eastAsia="Calibri" w:hAnsi="Times New Roman" w:cs="Times New Roman"/>
          <w:b/>
          <w:bCs/>
          <w:sz w:val="28"/>
          <w:szCs w:val="28"/>
        </w:rPr>
        <w:t>4.1. Introduction</w:t>
      </w:r>
    </w:p>
    <w:p w:rsidR="00C85AF5" w:rsidRPr="00C85AF5" w:rsidRDefault="00C85AF5" w:rsidP="00C85AF5">
      <w:pPr>
        <w:spacing w:after="200" w:line="276" w:lineRule="auto"/>
        <w:ind w:left="90"/>
        <w:jc w:val="both"/>
        <w:rPr>
          <w:rFonts w:ascii="Times New Roman" w:eastAsia="Calibri" w:hAnsi="Times New Roman" w:cs="Times New Roman"/>
          <w:sz w:val="32"/>
          <w:szCs w:val="32"/>
        </w:rPr>
      </w:pPr>
      <w:bookmarkStart w:id="2" w:name="_Hlk153372209"/>
      <w:r w:rsidRPr="00C85AF5">
        <w:rPr>
          <w:rFonts w:ascii="Times New Roman" w:eastAsia="Calibri" w:hAnsi="Times New Roman" w:cs="Times New Roman"/>
          <w:sz w:val="32"/>
          <w:szCs w:val="32"/>
        </w:rPr>
        <w:t>The results of the research project were discussed, and sections were arranged based on the research objectives. The results were presented via graphs and tables, with the identification of the effects through statistical analysis for each case. The results were compared with benchmark research and international protocols during the interpretation of results, as follows!</w:t>
      </w:r>
      <w:bookmarkEnd w:id="2"/>
    </w:p>
    <w:p w:rsidR="00C85AF5" w:rsidRPr="00C85AF5" w:rsidRDefault="00C85AF5" w:rsidP="00C85AF5">
      <w:pPr>
        <w:spacing w:after="200" w:line="276" w:lineRule="auto"/>
        <w:ind w:left="90"/>
        <w:jc w:val="both"/>
        <w:rPr>
          <w:rFonts w:ascii="Times New Roman" w:eastAsia="Calibri" w:hAnsi="Times New Roman" w:cs="Times New Roman"/>
          <w:sz w:val="32"/>
          <w:szCs w:val="32"/>
        </w:rPr>
      </w:pPr>
    </w:p>
    <w:p w:rsidR="00C85AF5" w:rsidRPr="00C85AF5" w:rsidRDefault="00C85AF5" w:rsidP="00C85AF5">
      <w:pPr>
        <w:spacing w:after="200" w:line="276" w:lineRule="auto"/>
        <w:ind w:left="90"/>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rPr>
        <w:t>4.2. Descriptive Statistics</w:t>
      </w:r>
    </w:p>
    <w:p w:rsidR="00C85AF5" w:rsidRPr="00C85AF5" w:rsidRDefault="00C85AF5" w:rsidP="00C85AF5">
      <w:pPr>
        <w:spacing w:after="200" w:line="360" w:lineRule="auto"/>
        <w:ind w:left="90"/>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rPr>
        <w:t>Table 4.1.</w:t>
      </w:r>
      <w:r w:rsidRPr="00C85AF5">
        <w:rPr>
          <w:rFonts w:ascii="Times New Roman" w:eastAsia="Calibri" w:hAnsi="Times New Roman" w:cs="Times New Roman"/>
          <w:sz w:val="28"/>
          <w:szCs w:val="28"/>
        </w:rPr>
        <w:t xml:space="preserve"> the descriptive statistics for all demographic information’s including the age, gender, BMI, occupation, grades of OA, and type of </w:t>
      </w:r>
      <w:r w:rsidRPr="00C85AF5">
        <w:rPr>
          <w:rFonts w:ascii="Times New Roman" w:eastAsia="Times New Roman" w:hAnsi="Times New Roman" w:cs="Times New Roman"/>
          <w:color w:val="000000"/>
          <w:sz w:val="28"/>
          <w:szCs w:val="28"/>
        </w:rPr>
        <w:t>malalignment</w:t>
      </w:r>
      <w:r w:rsidRPr="00C85AF5">
        <w:rPr>
          <w:rFonts w:ascii="Times New Roman" w:eastAsia="Calibri" w:hAnsi="Times New Roman" w:cs="Times New Roman"/>
          <w:sz w:val="28"/>
          <w:szCs w:val="28"/>
        </w:rPr>
        <w:t xml:space="preserve"> from patients</w:t>
      </w:r>
      <w:r w:rsidRPr="00C85AF5">
        <w:rPr>
          <w:rFonts w:ascii="Times New Roman" w:eastAsia="Calibri" w:hAnsi="Times New Roman" w:cs="Times New Roman"/>
          <w:sz w:val="28"/>
          <w:szCs w:val="28"/>
          <w:rtl/>
        </w:rPr>
        <w:t xml:space="preserve"> </w:t>
      </w:r>
      <w:r w:rsidRPr="00C85AF5">
        <w:rPr>
          <w:rFonts w:ascii="Times New Roman" w:eastAsia="Calibri" w:hAnsi="Times New Roman" w:cs="Times New Roman"/>
          <w:sz w:val="28"/>
          <w:szCs w:val="28"/>
        </w:rPr>
        <w:t xml:space="preserve">with knee joint pain. </w:t>
      </w:r>
    </w:p>
    <w:p w:rsidR="00C85AF5" w:rsidRPr="00C85AF5" w:rsidRDefault="00C85AF5" w:rsidP="00C85AF5">
      <w:pPr>
        <w:spacing w:after="200" w:line="360" w:lineRule="auto"/>
        <w:ind w:left="90"/>
        <w:jc w:val="both"/>
        <w:rPr>
          <w:rFonts w:ascii="Times New Roman" w:eastAsia="Times New Roman" w:hAnsi="Times New Roman" w:cs="Times New Roman"/>
          <w:color w:val="000000"/>
          <w:sz w:val="28"/>
          <w:szCs w:val="28"/>
        </w:rPr>
      </w:pPr>
      <w:r w:rsidRPr="00C85AF5">
        <w:rPr>
          <w:rFonts w:ascii="Times New Roman" w:eastAsia="Calibri" w:hAnsi="Times New Roman" w:cs="Times New Roman"/>
          <w:sz w:val="28"/>
          <w:szCs w:val="28"/>
        </w:rPr>
        <w:t xml:space="preserve">Most of the participants are aged more than 49 years (60%) followed by 40-49 years (22.5%), and 30-39 (17.5%) respectively. The average of their ages are 52 years (Fig 4.1.). The percentage of female (72.5%) is higher than the percentage of male’s participants (27.5%) (Fig 4.2.). Most of the patients are obese of BMI (55%) followed by over weight (32.5%), normal (12.5%) respectively since none of the patients are underweight (0%) (Fig 4.3.), as well as their average of BMI are 30.62. Furthermore, majority of patient in this study do not have work (housewife) (65%), most of them have grade 2 of OA (47.5%). Finally, the percentage of Varus as a type of </w:t>
      </w:r>
      <w:r w:rsidRPr="00C85AF5">
        <w:rPr>
          <w:rFonts w:ascii="Times New Roman" w:eastAsia="Times New Roman" w:hAnsi="Times New Roman" w:cs="Times New Roman"/>
          <w:color w:val="000000"/>
          <w:sz w:val="28"/>
          <w:szCs w:val="28"/>
        </w:rPr>
        <w:t>malalignment (95%) is higher than the percentage of valgus (5%). (Fig 4.4, Fig 4.5 and Fig 4.6)</w:t>
      </w:r>
    </w:p>
    <w:p w:rsidR="00C85AF5" w:rsidRPr="00C85AF5" w:rsidRDefault="00C85AF5" w:rsidP="00C85AF5">
      <w:pPr>
        <w:spacing w:after="200" w:line="360" w:lineRule="auto"/>
        <w:ind w:left="90"/>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ind w:left="90"/>
        <w:jc w:val="both"/>
        <w:rPr>
          <w:rFonts w:ascii="Times New Roman" w:eastAsia="Calibri" w:hAnsi="Times New Roman" w:cs="Times New Roman"/>
          <w:sz w:val="28"/>
          <w:szCs w:val="28"/>
          <w:lang w:bidi="ar-IQ"/>
        </w:rPr>
      </w:pPr>
    </w:p>
    <w:p w:rsidR="00C85AF5" w:rsidRPr="00C85AF5" w:rsidRDefault="00C85AF5" w:rsidP="00C85AF5">
      <w:pPr>
        <w:spacing w:after="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lastRenderedPageBreak/>
        <w:t>Table 4.1</w:t>
      </w:r>
      <w:r w:rsidRPr="00C85AF5">
        <w:rPr>
          <w:rFonts w:ascii="Times New Roman" w:eastAsia="Calibri" w:hAnsi="Times New Roman" w:cs="Times New Roman"/>
          <w:b/>
          <w:bCs/>
          <w:sz w:val="24"/>
          <w:szCs w:val="24"/>
          <w:lang w:bidi="ar-IQ"/>
        </w:rPr>
        <w:t xml:space="preserve">. </w:t>
      </w:r>
      <w:r w:rsidRPr="00C85AF5">
        <w:rPr>
          <w:rFonts w:ascii="Times New Roman" w:eastAsia="Calibri" w:hAnsi="Times New Roman" w:cs="Times New Roman"/>
          <w:sz w:val="28"/>
          <w:szCs w:val="28"/>
          <w:lang w:bidi="ar-IQ"/>
        </w:rPr>
        <w:t xml:space="preserve">Descriptive Statistics for Socio Demographic </w:t>
      </w:r>
    </w:p>
    <w:p w:rsidR="00C85AF5" w:rsidRPr="00C85AF5" w:rsidRDefault="00C85AF5" w:rsidP="00C85AF5">
      <w:pPr>
        <w:spacing w:after="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Questions from Patients</w:t>
      </w:r>
      <w:r w:rsidRPr="00C85AF5">
        <w:rPr>
          <w:rFonts w:ascii="Times New Roman" w:eastAsia="Calibri" w:hAnsi="Times New Roman" w:cs="Times New Roman" w:hint="cs"/>
          <w:sz w:val="28"/>
          <w:szCs w:val="28"/>
          <w:rtl/>
          <w:lang w:bidi="ar-SY"/>
        </w:rPr>
        <w:t xml:space="preserve"> </w:t>
      </w:r>
      <w:r w:rsidRPr="00C85AF5">
        <w:rPr>
          <w:rFonts w:ascii="Times New Roman" w:eastAsia="Calibri" w:hAnsi="Times New Roman" w:cs="Times New Roman"/>
          <w:sz w:val="28"/>
          <w:szCs w:val="28"/>
          <w:lang w:bidi="ar-SY"/>
        </w:rPr>
        <w:t xml:space="preserve">with </w:t>
      </w:r>
      <w:r w:rsidRPr="00C85AF5">
        <w:rPr>
          <w:rFonts w:ascii="Times New Roman" w:eastAsia="Calibri" w:hAnsi="Times New Roman" w:cs="Times New Roman"/>
          <w:sz w:val="28"/>
          <w:szCs w:val="28"/>
          <w:lang w:bidi="ar-IQ"/>
        </w:rPr>
        <w:t>Knee OA</w:t>
      </w:r>
    </w:p>
    <w:p w:rsidR="00C85AF5" w:rsidRPr="00C85AF5" w:rsidRDefault="00C85AF5" w:rsidP="00C85AF5">
      <w:pPr>
        <w:spacing w:after="0" w:line="276" w:lineRule="auto"/>
        <w:jc w:val="center"/>
        <w:rPr>
          <w:rFonts w:ascii="Times New Roman" w:eastAsia="Calibri" w:hAnsi="Times New Roman" w:cs="Times New Roman"/>
          <w:b/>
          <w:bCs/>
          <w:sz w:val="24"/>
          <w:szCs w:val="24"/>
          <w:lang w:bidi="ar-IQ"/>
        </w:rPr>
      </w:pPr>
    </w:p>
    <w:tbl>
      <w:tblPr>
        <w:tblW w:w="7954" w:type="dxa"/>
        <w:jc w:val="center"/>
        <w:tblLook w:val="04A0" w:firstRow="1" w:lastRow="0" w:firstColumn="1" w:lastColumn="0" w:noHBand="0" w:noVBand="1"/>
      </w:tblPr>
      <w:tblGrid>
        <w:gridCol w:w="2686"/>
        <w:gridCol w:w="3277"/>
        <w:gridCol w:w="995"/>
        <w:gridCol w:w="996"/>
      </w:tblGrid>
      <w:tr w:rsidR="00C85AF5" w:rsidRPr="00C85AF5" w:rsidTr="00631D4F">
        <w:trPr>
          <w:trHeight w:val="423"/>
          <w:jc w:val="center"/>
        </w:trPr>
        <w:tc>
          <w:tcPr>
            <w:tcW w:w="59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F</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t>
            </w:r>
          </w:p>
        </w:tc>
      </w:tr>
      <w:tr w:rsidR="00C85AF5" w:rsidRPr="00C85AF5" w:rsidTr="00631D4F">
        <w:trPr>
          <w:trHeight w:val="423"/>
          <w:jc w:val="center"/>
        </w:trPr>
        <w:tc>
          <w:tcPr>
            <w:tcW w:w="2686" w:type="dxa"/>
            <w:vMerge w:val="restart"/>
            <w:tcBorders>
              <w:top w:val="nil"/>
              <w:left w:val="single" w:sz="4" w:space="0" w:color="auto"/>
              <w:bottom w:val="single" w:sz="4" w:space="0" w:color="000000"/>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Age</w:t>
            </w: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30 – 39</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7</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17.5%</w:t>
            </w:r>
          </w:p>
        </w:tc>
      </w:tr>
      <w:tr w:rsidR="00C85AF5" w:rsidRPr="00C85AF5" w:rsidTr="00631D4F">
        <w:trPr>
          <w:trHeight w:val="423"/>
          <w:jc w:val="center"/>
        </w:trPr>
        <w:tc>
          <w:tcPr>
            <w:tcW w:w="2686"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40 – 49</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9</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22.5%</w:t>
            </w:r>
          </w:p>
        </w:tc>
      </w:tr>
      <w:tr w:rsidR="00C85AF5" w:rsidRPr="00C85AF5" w:rsidTr="00631D4F">
        <w:trPr>
          <w:trHeight w:val="423"/>
          <w:jc w:val="center"/>
        </w:trPr>
        <w:tc>
          <w:tcPr>
            <w:tcW w:w="2686"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50 and more</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24</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60.0%</w:t>
            </w:r>
          </w:p>
        </w:tc>
      </w:tr>
      <w:tr w:rsidR="00C85AF5" w:rsidRPr="00C85AF5" w:rsidTr="00631D4F">
        <w:trPr>
          <w:trHeight w:val="423"/>
          <w:jc w:val="center"/>
        </w:trPr>
        <w:tc>
          <w:tcPr>
            <w:tcW w:w="2686"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nil"/>
              <w:right w:val="nil"/>
            </w:tcBorders>
            <w:shd w:val="clear" w:color="auto" w:fill="auto"/>
            <w:noWrap/>
            <w:vAlign w:val="bottom"/>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xml:space="preserve">(Mean </w:t>
            </w:r>
            <w:r w:rsidRPr="00C85AF5">
              <w:rPr>
                <w:rFonts w:ascii="Calibri" w:eastAsia="Times New Roman" w:hAnsi="Calibri" w:cs="Calibri"/>
                <w:color w:val="000000"/>
                <w:sz w:val="24"/>
                <w:szCs w:val="24"/>
              </w:rPr>
              <w:t>±</w:t>
            </w:r>
            <w:r w:rsidRPr="00C85AF5">
              <w:rPr>
                <w:rFonts w:ascii="Times New Roman" w:eastAsia="Times New Roman" w:hAnsi="Times New Roman" w:cs="Times New Roman"/>
                <w:color w:val="000000"/>
                <w:sz w:val="24"/>
                <w:szCs w:val="24"/>
              </w:rPr>
              <w:t xml:space="preserve"> SD) </w:t>
            </w:r>
          </w:p>
        </w:tc>
        <w:tc>
          <w:tcPr>
            <w:tcW w:w="19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(52 ± 11.94)</w:t>
            </w:r>
          </w:p>
        </w:tc>
      </w:tr>
      <w:tr w:rsidR="00C85AF5" w:rsidRPr="00C85AF5" w:rsidTr="00631D4F">
        <w:trPr>
          <w:trHeight w:val="423"/>
          <w:jc w:val="center"/>
        </w:trPr>
        <w:tc>
          <w:tcPr>
            <w:tcW w:w="2686"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Gender</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Male</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11</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27.5%</w:t>
            </w:r>
          </w:p>
        </w:tc>
      </w:tr>
      <w:tr w:rsidR="00C85AF5" w:rsidRPr="00C85AF5" w:rsidTr="00631D4F">
        <w:trPr>
          <w:trHeight w:val="423"/>
          <w:jc w:val="center"/>
        </w:trPr>
        <w:tc>
          <w:tcPr>
            <w:tcW w:w="2686"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Female</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29</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72.5%</w:t>
            </w:r>
          </w:p>
        </w:tc>
      </w:tr>
      <w:tr w:rsidR="00C85AF5" w:rsidRPr="00C85AF5" w:rsidTr="00631D4F">
        <w:trPr>
          <w:trHeight w:val="423"/>
          <w:jc w:val="center"/>
        </w:trPr>
        <w:tc>
          <w:tcPr>
            <w:tcW w:w="2686" w:type="dxa"/>
            <w:vMerge w:val="restart"/>
            <w:tcBorders>
              <w:top w:val="nil"/>
              <w:left w:val="single" w:sz="4" w:space="0" w:color="auto"/>
              <w:bottom w:val="single" w:sz="4" w:space="0" w:color="000000"/>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BMI group</w:t>
            </w: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Less than 18.5 (Underweight)</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0.0%</w:t>
            </w:r>
          </w:p>
        </w:tc>
      </w:tr>
      <w:tr w:rsidR="00C85AF5" w:rsidRPr="00C85AF5" w:rsidTr="00631D4F">
        <w:trPr>
          <w:trHeight w:val="423"/>
          <w:jc w:val="center"/>
        </w:trPr>
        <w:tc>
          <w:tcPr>
            <w:tcW w:w="2686"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18.5 - 24.9 (Normal)</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12.5%</w:t>
            </w:r>
          </w:p>
        </w:tc>
      </w:tr>
      <w:tr w:rsidR="00C85AF5" w:rsidRPr="00C85AF5" w:rsidTr="00631D4F">
        <w:trPr>
          <w:trHeight w:val="423"/>
          <w:jc w:val="center"/>
        </w:trPr>
        <w:tc>
          <w:tcPr>
            <w:tcW w:w="2686"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25 - 29.9 (Over weight)</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32.5%</w:t>
            </w:r>
          </w:p>
        </w:tc>
      </w:tr>
      <w:tr w:rsidR="00C85AF5" w:rsidRPr="00C85AF5" w:rsidTr="00631D4F">
        <w:trPr>
          <w:trHeight w:val="423"/>
          <w:jc w:val="center"/>
        </w:trPr>
        <w:tc>
          <w:tcPr>
            <w:tcW w:w="2686"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30 and more (Obese)</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22</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55.0%</w:t>
            </w:r>
          </w:p>
        </w:tc>
      </w:tr>
      <w:tr w:rsidR="00C85AF5" w:rsidRPr="00C85AF5" w:rsidTr="00631D4F">
        <w:trPr>
          <w:trHeight w:val="423"/>
          <w:jc w:val="center"/>
        </w:trPr>
        <w:tc>
          <w:tcPr>
            <w:tcW w:w="2686"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nil"/>
              <w:right w:val="nil"/>
            </w:tcBorders>
            <w:shd w:val="clear" w:color="auto" w:fill="auto"/>
            <w:noWrap/>
            <w:vAlign w:val="bottom"/>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xml:space="preserve">(Mean </w:t>
            </w:r>
            <w:r w:rsidRPr="00C85AF5">
              <w:rPr>
                <w:rFonts w:ascii="Calibri" w:eastAsia="Times New Roman" w:hAnsi="Calibri" w:cs="Calibri"/>
                <w:color w:val="000000"/>
                <w:sz w:val="24"/>
                <w:szCs w:val="24"/>
              </w:rPr>
              <w:t>±</w:t>
            </w:r>
            <w:r w:rsidRPr="00C85AF5">
              <w:rPr>
                <w:rFonts w:ascii="Times New Roman" w:eastAsia="Times New Roman" w:hAnsi="Times New Roman" w:cs="Times New Roman"/>
                <w:color w:val="000000"/>
                <w:sz w:val="24"/>
                <w:szCs w:val="24"/>
              </w:rPr>
              <w:t xml:space="preserve"> SD) </w:t>
            </w:r>
          </w:p>
        </w:tc>
        <w:tc>
          <w:tcPr>
            <w:tcW w:w="19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(30.62 ± 4.68)</w:t>
            </w:r>
          </w:p>
        </w:tc>
      </w:tr>
      <w:tr w:rsidR="00C85AF5" w:rsidRPr="00C85AF5" w:rsidTr="00631D4F">
        <w:trPr>
          <w:trHeight w:val="423"/>
          <w:jc w:val="center"/>
        </w:trPr>
        <w:tc>
          <w:tcPr>
            <w:tcW w:w="2686"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Occupation</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Housewife</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65.0%</w:t>
            </w:r>
          </w:p>
        </w:tc>
      </w:tr>
      <w:tr w:rsidR="00C85AF5" w:rsidRPr="00C85AF5" w:rsidTr="00631D4F">
        <w:trPr>
          <w:trHeight w:val="423"/>
          <w:jc w:val="center"/>
        </w:trPr>
        <w:tc>
          <w:tcPr>
            <w:tcW w:w="2686"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Teacher</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8</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20.0%</w:t>
            </w:r>
          </w:p>
        </w:tc>
      </w:tr>
      <w:tr w:rsidR="00C85AF5" w:rsidRPr="00C85AF5" w:rsidTr="00631D4F">
        <w:trPr>
          <w:trHeight w:val="423"/>
          <w:jc w:val="center"/>
        </w:trPr>
        <w:tc>
          <w:tcPr>
            <w:tcW w:w="2686"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Worker</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6</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15.0%</w:t>
            </w:r>
          </w:p>
        </w:tc>
      </w:tr>
      <w:tr w:rsidR="00C85AF5" w:rsidRPr="00C85AF5" w:rsidTr="00631D4F">
        <w:trPr>
          <w:trHeight w:val="423"/>
          <w:jc w:val="center"/>
        </w:trPr>
        <w:tc>
          <w:tcPr>
            <w:tcW w:w="2686"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OA grade</w:t>
            </w: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Grade 1</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0.0%</w:t>
            </w:r>
          </w:p>
        </w:tc>
      </w:tr>
      <w:tr w:rsidR="00C85AF5" w:rsidRPr="00C85AF5" w:rsidTr="00631D4F">
        <w:trPr>
          <w:trHeight w:val="423"/>
          <w:jc w:val="center"/>
        </w:trPr>
        <w:tc>
          <w:tcPr>
            <w:tcW w:w="2686"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Grade 2</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19</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47.5%</w:t>
            </w:r>
          </w:p>
        </w:tc>
      </w:tr>
      <w:tr w:rsidR="00C85AF5" w:rsidRPr="00C85AF5" w:rsidTr="00631D4F">
        <w:trPr>
          <w:trHeight w:val="423"/>
          <w:jc w:val="center"/>
        </w:trPr>
        <w:tc>
          <w:tcPr>
            <w:tcW w:w="2686"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Grade 3</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42.5%</w:t>
            </w:r>
          </w:p>
        </w:tc>
      </w:tr>
      <w:tr w:rsidR="00C85AF5" w:rsidRPr="00C85AF5" w:rsidTr="00631D4F">
        <w:trPr>
          <w:trHeight w:val="423"/>
          <w:jc w:val="center"/>
        </w:trPr>
        <w:tc>
          <w:tcPr>
            <w:tcW w:w="2686"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Grade 4</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4</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10.0%</w:t>
            </w:r>
          </w:p>
        </w:tc>
      </w:tr>
      <w:tr w:rsidR="00C85AF5" w:rsidRPr="00C85AF5" w:rsidTr="00631D4F">
        <w:trPr>
          <w:trHeight w:val="423"/>
          <w:jc w:val="center"/>
        </w:trPr>
        <w:tc>
          <w:tcPr>
            <w:tcW w:w="2686"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Type of malalignment</w:t>
            </w: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Varus</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38</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95.0%</w:t>
            </w:r>
          </w:p>
        </w:tc>
      </w:tr>
      <w:tr w:rsidR="00C85AF5" w:rsidRPr="00C85AF5" w:rsidTr="00631D4F">
        <w:trPr>
          <w:trHeight w:val="423"/>
          <w:jc w:val="center"/>
        </w:trPr>
        <w:tc>
          <w:tcPr>
            <w:tcW w:w="2686"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3277"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Valgus(from control group)</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w:t>
            </w:r>
          </w:p>
        </w:tc>
        <w:tc>
          <w:tcPr>
            <w:tcW w:w="99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5.0%</w:t>
            </w:r>
          </w:p>
        </w:tc>
      </w:tr>
    </w:tbl>
    <w:p w:rsidR="00C85AF5" w:rsidRPr="00C85AF5" w:rsidRDefault="00C85AF5" w:rsidP="00C85AF5">
      <w:pPr>
        <w:spacing w:after="0" w:line="360" w:lineRule="auto"/>
        <w:jc w:val="both"/>
        <w:rPr>
          <w:rFonts w:ascii="Times New Roman" w:eastAsia="Calibri" w:hAnsi="Times New Roman" w:cs="Times New Roman"/>
          <w:sz w:val="24"/>
          <w:szCs w:val="24"/>
        </w:rPr>
      </w:pPr>
    </w:p>
    <w:p w:rsidR="00C85AF5" w:rsidRPr="00C85AF5" w:rsidRDefault="00C85AF5" w:rsidP="00C85AF5">
      <w:pPr>
        <w:spacing w:after="0" w:line="360" w:lineRule="auto"/>
        <w:jc w:val="both"/>
        <w:rPr>
          <w:rFonts w:ascii="Times New Roman" w:eastAsia="Calibri" w:hAnsi="Times New Roman" w:cs="Times New Roman"/>
          <w:sz w:val="24"/>
          <w:szCs w:val="24"/>
        </w:rPr>
      </w:pPr>
    </w:p>
    <w:p w:rsidR="00C85AF5" w:rsidRPr="00C85AF5" w:rsidRDefault="00C85AF5" w:rsidP="00C85AF5">
      <w:pPr>
        <w:spacing w:after="0" w:line="360" w:lineRule="auto"/>
        <w:jc w:val="both"/>
        <w:rPr>
          <w:rFonts w:ascii="Times New Roman" w:eastAsia="Times New Roman" w:hAnsi="Times New Roman" w:cs="Times New Roman"/>
          <w:sz w:val="24"/>
          <w:szCs w:val="24"/>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r w:rsidRPr="00C85AF5">
        <w:rPr>
          <w:rFonts w:ascii="Calibri" w:eastAsia="Calibri" w:hAnsi="Calibri" w:cs="Arial"/>
          <w:noProof/>
        </w:rPr>
        <w:lastRenderedPageBreak/>
        <w:drawing>
          <wp:inline distT="0" distB="0" distL="0" distR="0" wp14:anchorId="5DAA3973" wp14:editId="666AE3CA">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5AF5" w:rsidRPr="00C85AF5" w:rsidRDefault="00C85AF5" w:rsidP="00C85AF5">
      <w:pPr>
        <w:spacing w:after="20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Fig 4.1. Percentage to show age of participants</w:t>
      </w:r>
    </w:p>
    <w:p w:rsidR="00C85AF5" w:rsidRPr="00C85AF5" w:rsidRDefault="00C85AF5" w:rsidP="00C85AF5">
      <w:pPr>
        <w:spacing w:after="200" w:line="276" w:lineRule="auto"/>
        <w:jc w:val="center"/>
        <w:rPr>
          <w:rFonts w:ascii="Times New Roman" w:eastAsia="Calibri" w:hAnsi="Times New Roman" w:cs="Times New Roman"/>
          <w:sz w:val="28"/>
          <w:szCs w:val="28"/>
          <w:lang w:bidi="ar-IQ"/>
        </w:rPr>
      </w:pPr>
    </w:p>
    <w:p w:rsidR="00C85AF5" w:rsidRPr="00C85AF5" w:rsidRDefault="00C85AF5" w:rsidP="00C85AF5">
      <w:pPr>
        <w:spacing w:after="200" w:line="276" w:lineRule="auto"/>
        <w:jc w:val="center"/>
        <w:rPr>
          <w:rFonts w:ascii="Times New Roman" w:eastAsia="Calibri" w:hAnsi="Times New Roman" w:cs="Times New Roman"/>
          <w:sz w:val="28"/>
          <w:szCs w:val="28"/>
          <w:lang w:bidi="ar-IQ"/>
        </w:rPr>
      </w:pPr>
    </w:p>
    <w:p w:rsidR="00C85AF5" w:rsidRPr="00C85AF5" w:rsidRDefault="00C85AF5" w:rsidP="00C85AF5">
      <w:pPr>
        <w:spacing w:after="200" w:line="276" w:lineRule="auto"/>
        <w:jc w:val="both"/>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r w:rsidRPr="00C85AF5">
        <w:rPr>
          <w:rFonts w:ascii="Calibri" w:eastAsia="Calibri" w:hAnsi="Calibri" w:cs="Arial"/>
          <w:noProof/>
        </w:rPr>
        <w:drawing>
          <wp:inline distT="0" distB="0" distL="0" distR="0" wp14:anchorId="2DB1B59E" wp14:editId="15914432">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5AF5" w:rsidRPr="00C85AF5" w:rsidRDefault="00C85AF5" w:rsidP="00C85AF5">
      <w:pPr>
        <w:spacing w:after="20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Fig 4.2. Percentage to show gender of participants</w:t>
      </w:r>
    </w:p>
    <w:p w:rsidR="00C85AF5" w:rsidRPr="00C85AF5" w:rsidRDefault="00C85AF5" w:rsidP="00C85AF5">
      <w:pPr>
        <w:spacing w:after="200" w:line="276" w:lineRule="auto"/>
        <w:jc w:val="both"/>
        <w:rPr>
          <w:rFonts w:ascii="Times New Roman" w:eastAsia="Calibri" w:hAnsi="Times New Roman" w:cs="Times New Roman"/>
          <w:sz w:val="24"/>
          <w:szCs w:val="24"/>
          <w:lang w:bidi="ar-IQ"/>
        </w:rPr>
      </w:pPr>
    </w:p>
    <w:p w:rsidR="00C85AF5" w:rsidRPr="00C85AF5" w:rsidRDefault="00C85AF5" w:rsidP="00C85AF5">
      <w:pPr>
        <w:spacing w:after="200" w:line="276" w:lineRule="auto"/>
        <w:jc w:val="both"/>
        <w:rPr>
          <w:rFonts w:ascii="Times New Roman" w:eastAsia="Calibri" w:hAnsi="Times New Roman" w:cs="Times New Roman"/>
          <w:sz w:val="24"/>
          <w:szCs w:val="24"/>
          <w:lang w:bidi="ar-IQ"/>
        </w:rPr>
      </w:pPr>
    </w:p>
    <w:p w:rsidR="00C85AF5" w:rsidRPr="00C85AF5" w:rsidRDefault="00C85AF5" w:rsidP="00C85AF5">
      <w:pPr>
        <w:spacing w:after="200" w:line="276" w:lineRule="auto"/>
        <w:jc w:val="both"/>
        <w:rPr>
          <w:rFonts w:ascii="Times New Roman" w:eastAsia="Calibri" w:hAnsi="Times New Roman" w:cs="Times New Roman"/>
          <w:sz w:val="24"/>
          <w:szCs w:val="24"/>
          <w:lang w:bidi="ar-IQ"/>
        </w:rPr>
      </w:pPr>
    </w:p>
    <w:p w:rsidR="00C85AF5" w:rsidRPr="00C85AF5" w:rsidRDefault="00C85AF5" w:rsidP="00C85AF5">
      <w:pPr>
        <w:spacing w:after="200" w:line="276" w:lineRule="auto"/>
        <w:jc w:val="both"/>
        <w:rPr>
          <w:rFonts w:ascii="Times New Roman" w:eastAsia="Calibri" w:hAnsi="Times New Roman" w:cs="Times New Roman"/>
          <w:sz w:val="24"/>
          <w:szCs w:val="24"/>
          <w:lang w:bidi="ar-IQ"/>
        </w:rPr>
      </w:pPr>
    </w:p>
    <w:p w:rsidR="00C85AF5" w:rsidRPr="00C85AF5" w:rsidRDefault="00C85AF5" w:rsidP="00C85AF5">
      <w:pPr>
        <w:spacing w:after="200" w:line="276" w:lineRule="auto"/>
        <w:jc w:val="both"/>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r w:rsidRPr="00C85AF5">
        <w:rPr>
          <w:rFonts w:ascii="Calibri" w:eastAsia="Calibri" w:hAnsi="Calibri" w:cs="Arial"/>
          <w:noProof/>
        </w:rPr>
        <w:drawing>
          <wp:inline distT="0" distB="0" distL="0" distR="0" wp14:anchorId="00F1E4D2" wp14:editId="5AE3F7AC">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5AF5" w:rsidRPr="00C85AF5" w:rsidRDefault="00C85AF5" w:rsidP="00C85AF5">
      <w:pPr>
        <w:spacing w:after="20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Fig 4.3. Percentage to show BMI of participants</w:t>
      </w:r>
    </w:p>
    <w:p w:rsidR="00C85AF5" w:rsidRPr="00C85AF5" w:rsidRDefault="00C85AF5" w:rsidP="00C85AF5">
      <w:pPr>
        <w:spacing w:after="200" w:line="276" w:lineRule="auto"/>
        <w:rPr>
          <w:rFonts w:ascii="Times New Roman" w:eastAsia="Calibri" w:hAnsi="Times New Roman" w:cs="Times New Roman"/>
          <w:sz w:val="24"/>
          <w:szCs w:val="24"/>
          <w:lang w:bidi="ar-IQ"/>
        </w:rPr>
      </w:pPr>
    </w:p>
    <w:p w:rsidR="00C85AF5" w:rsidRPr="00C85AF5" w:rsidRDefault="00C85AF5" w:rsidP="00C85AF5">
      <w:pPr>
        <w:spacing w:after="200" w:line="276" w:lineRule="auto"/>
        <w:rPr>
          <w:rFonts w:ascii="Times New Roman" w:eastAsia="Calibri" w:hAnsi="Times New Roman" w:cs="Times New Roman"/>
          <w:sz w:val="24"/>
          <w:szCs w:val="24"/>
          <w:lang w:bidi="ar-IQ"/>
        </w:rPr>
      </w:pPr>
    </w:p>
    <w:p w:rsidR="00C85AF5" w:rsidRPr="00C85AF5" w:rsidRDefault="00C85AF5" w:rsidP="00C85AF5">
      <w:pPr>
        <w:spacing w:after="200" w:line="276" w:lineRule="auto"/>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r w:rsidRPr="00C85AF5">
        <w:rPr>
          <w:rFonts w:ascii="Calibri" w:eastAsia="Calibri" w:hAnsi="Calibri" w:cs="Arial"/>
          <w:noProof/>
        </w:rPr>
        <w:drawing>
          <wp:inline distT="0" distB="0" distL="0" distR="0" wp14:anchorId="76A161D7" wp14:editId="2833710A">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r w:rsidRPr="00C85AF5">
        <w:rPr>
          <w:rFonts w:ascii="Times New Roman" w:eastAsia="Calibri" w:hAnsi="Times New Roman" w:cs="Times New Roman"/>
          <w:sz w:val="28"/>
          <w:szCs w:val="28"/>
          <w:lang w:bidi="ar-IQ"/>
        </w:rPr>
        <w:t>Fig 4.4. Percentage to show occupation of participants</w:t>
      </w:r>
    </w:p>
    <w:p w:rsidR="00C85AF5" w:rsidRPr="00C85AF5" w:rsidRDefault="00C85AF5" w:rsidP="00C85AF5">
      <w:pPr>
        <w:spacing w:after="200" w:line="276" w:lineRule="auto"/>
        <w:jc w:val="both"/>
        <w:rPr>
          <w:rFonts w:ascii="Times New Roman" w:eastAsia="Calibri" w:hAnsi="Times New Roman" w:cs="Times New Roman"/>
          <w:sz w:val="24"/>
          <w:szCs w:val="24"/>
          <w:lang w:bidi="ar-IQ"/>
        </w:rPr>
      </w:pPr>
    </w:p>
    <w:p w:rsidR="00C85AF5" w:rsidRPr="00C85AF5" w:rsidRDefault="00C85AF5" w:rsidP="00C85AF5">
      <w:pPr>
        <w:spacing w:after="200" w:line="276" w:lineRule="auto"/>
        <w:jc w:val="both"/>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r w:rsidRPr="00C85AF5">
        <w:rPr>
          <w:rFonts w:ascii="Calibri" w:eastAsia="Calibri" w:hAnsi="Calibri" w:cs="Arial"/>
          <w:noProof/>
        </w:rPr>
        <w:drawing>
          <wp:inline distT="0" distB="0" distL="0" distR="0" wp14:anchorId="588450E4" wp14:editId="672026DF">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5AF5" w:rsidRPr="00C85AF5" w:rsidRDefault="00C85AF5" w:rsidP="00C85AF5">
      <w:pPr>
        <w:spacing w:after="20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Fig 4.5. Percentage to show grades of Osteoarthritis</w:t>
      </w: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r w:rsidRPr="00C85AF5">
        <w:rPr>
          <w:rFonts w:ascii="Calibri" w:eastAsia="Calibri" w:hAnsi="Calibri" w:cs="Arial"/>
          <w:noProof/>
        </w:rPr>
        <w:drawing>
          <wp:inline distT="0" distB="0" distL="0" distR="0" wp14:anchorId="5780365E" wp14:editId="6CB28990">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5AF5" w:rsidRPr="00C85AF5" w:rsidRDefault="00C85AF5" w:rsidP="00C85AF5">
      <w:pPr>
        <w:spacing w:after="20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Fig 4.6. Percentage to show type of malalignment</w:t>
      </w:r>
    </w:p>
    <w:p w:rsidR="00C85AF5" w:rsidRPr="00C85AF5" w:rsidRDefault="00C85AF5" w:rsidP="00C85AF5">
      <w:pPr>
        <w:spacing w:after="200" w:line="276" w:lineRule="auto"/>
        <w:jc w:val="center"/>
        <w:rPr>
          <w:rFonts w:ascii="Times New Roman" w:eastAsia="Calibri" w:hAnsi="Times New Roman" w:cs="Times New Roman"/>
          <w:sz w:val="24"/>
          <w:szCs w:val="24"/>
          <w:lang w:bidi="ar-IQ"/>
        </w:rPr>
      </w:pPr>
    </w:p>
    <w:p w:rsidR="00C85AF5" w:rsidRPr="00C85AF5" w:rsidRDefault="00C85AF5" w:rsidP="00C85AF5">
      <w:pPr>
        <w:spacing w:after="200" w:line="360" w:lineRule="auto"/>
        <w:jc w:val="both"/>
        <w:rPr>
          <w:rFonts w:ascii="Times New Roman" w:eastAsia="Calibri" w:hAnsi="Times New Roman" w:cs="Times New Roman"/>
          <w:sz w:val="24"/>
          <w:szCs w:val="24"/>
          <w:lang w:bidi="ar-IQ"/>
        </w:rPr>
      </w:pPr>
    </w:p>
    <w:p w:rsidR="00C85AF5" w:rsidRPr="00C85AF5" w:rsidRDefault="00C85AF5" w:rsidP="00C85AF5">
      <w:pPr>
        <w:spacing w:after="200" w:line="360" w:lineRule="auto"/>
        <w:jc w:val="both"/>
        <w:rPr>
          <w:rFonts w:ascii="Times New Roman" w:eastAsia="Calibri" w:hAnsi="Times New Roman" w:cs="Times New Roman"/>
          <w:b/>
          <w:bCs/>
          <w:sz w:val="28"/>
          <w:szCs w:val="28"/>
          <w:rtl/>
        </w:rPr>
      </w:pPr>
      <w:r w:rsidRPr="00C85AF5">
        <w:rPr>
          <w:rFonts w:ascii="Times New Roman" w:eastAsia="Calibri" w:hAnsi="Times New Roman" w:cs="Times New Roman"/>
          <w:b/>
          <w:bCs/>
          <w:sz w:val="28"/>
          <w:szCs w:val="28"/>
        </w:rPr>
        <w:lastRenderedPageBreak/>
        <w:t>4.3. Instrument of Reliability Test</w:t>
      </w:r>
    </w:p>
    <w:p w:rsidR="00C85AF5" w:rsidRPr="00C85AF5" w:rsidRDefault="00C85AF5" w:rsidP="00C85AF5">
      <w:pPr>
        <w:spacing w:after="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 xml:space="preserve">The research tool was tested for reliability and foundational validity before the results are presented. A reliability test was carried out using Cronbach’s alpha, which measures the internal consistency of a construct. The recommended minimum acceptable limit of reliability “alpha” for this measure is 0.60 </w:t>
      </w:r>
      <w:r w:rsidRPr="00C85AF5">
        <w:rPr>
          <w:rFonts w:ascii="Times New Roman" w:eastAsia="Calibri" w:hAnsi="Times New Roman" w:cs="Times New Roman"/>
          <w:sz w:val="28"/>
          <w:szCs w:val="28"/>
          <w:lang w:bidi="ar-IQ"/>
        </w:rPr>
        <w:fldChar w:fldCharType="begin"/>
      </w:r>
      <w:r w:rsidRPr="00C85AF5">
        <w:rPr>
          <w:rFonts w:ascii="Times New Roman" w:eastAsia="Calibri" w:hAnsi="Times New Roman" w:cs="Times New Roman"/>
          <w:sz w:val="28"/>
          <w:szCs w:val="28"/>
          <w:lang w:bidi="ar-IQ"/>
        </w:rPr>
        <w:instrText xml:space="preserve"> ADDIN EN.CITE &lt;EndNote&gt;&lt;Cite&gt;&lt;Author&gt;Babin&lt;/Author&gt;&lt;Year&gt;2003&lt;/Year&gt;&lt;RecNum&gt;25&lt;/RecNum&gt;&lt;DisplayText&gt;(Babin et al., 2003)&lt;/DisplayText&gt;&lt;record&gt;&lt;rec-number&gt;25&lt;/rec-number&gt;&lt;foreign-keys&gt;&lt;key app="EN" db-id="a9avdzrxiaztt2epxwcvrst0v0sw2ar9apsf" timestamp="1700903307"&gt;25&lt;/key&gt;&lt;/foreign-keys&gt;&lt;ref-type name="Book"&gt;6&lt;/ref-type&gt;&lt;contributors&gt;&lt;authors&gt;&lt;author&gt;Babin, Barry&lt;/author&gt;&lt;author&gt;Money, Arthur H.&lt;/author&gt;&lt;author&gt;Samouel, Phillip&lt;/author&gt;&lt;author&gt;Hair, Joseph F.&lt;/author&gt;&lt;/authors&gt;&lt;/contributors&gt;&lt;titles&gt;&lt;title&gt;Essentials of business research methods&lt;/title&gt;&lt;/titles&gt;&lt;section&gt;XXIII, 440 p. : ill. ; 24 cm.&lt;/section&gt;&lt;dates&gt;&lt;year&gt;2003&lt;/year&gt;&lt;/dates&gt;&lt;pub-location&gt;Hoboken, New Jersey&lt;/pub-location&gt;&lt;publisher&gt;John Wiley &amp;amp; Sons Hoboken, New Jersey&lt;/publisher&gt;&lt;isbn&gt;0471271365; 9780471271369&lt;/isbn&gt;&lt;urls&gt;&lt;/urls&gt;&lt;remote-database-name&gt;WorldCat&lt;/remote-database-name&gt;&lt;language&gt;und&lt;/language&gt;&lt;/record&gt;&lt;/Cite&gt;&lt;/EndNote&gt;</w:instrText>
      </w:r>
      <w:r w:rsidRPr="00C85AF5">
        <w:rPr>
          <w:rFonts w:ascii="Times New Roman" w:eastAsia="Calibri" w:hAnsi="Times New Roman" w:cs="Times New Roman"/>
          <w:sz w:val="28"/>
          <w:szCs w:val="28"/>
          <w:lang w:bidi="ar-IQ"/>
        </w:rPr>
        <w:fldChar w:fldCharType="separate"/>
      </w:r>
      <w:r w:rsidRPr="00C85AF5">
        <w:rPr>
          <w:rFonts w:ascii="Times New Roman" w:eastAsia="Calibri" w:hAnsi="Times New Roman" w:cs="Times New Roman"/>
          <w:noProof/>
          <w:sz w:val="28"/>
          <w:szCs w:val="28"/>
          <w:lang w:bidi="ar-IQ"/>
        </w:rPr>
        <w:t>(Babin et al., 2003)</w:t>
      </w:r>
      <w:r w:rsidRPr="00C85AF5">
        <w:rPr>
          <w:rFonts w:ascii="Times New Roman" w:eastAsia="Calibri" w:hAnsi="Times New Roman" w:cs="Times New Roman"/>
          <w:sz w:val="28"/>
          <w:szCs w:val="28"/>
          <w:lang w:bidi="ar-IQ"/>
        </w:rPr>
        <w:fldChar w:fldCharType="end"/>
      </w:r>
      <w:r w:rsidRPr="00C85AF5">
        <w:rPr>
          <w:rFonts w:ascii="Times New Roman" w:eastAsia="Times New Roman" w:hAnsi="Times New Roman" w:cs="Times New Roman"/>
          <w:sz w:val="28"/>
          <w:szCs w:val="28"/>
        </w:rPr>
        <w:t xml:space="preserve">. </w:t>
      </w:r>
      <w:r w:rsidRPr="00C85AF5">
        <w:rPr>
          <w:rFonts w:ascii="Times New Roman" w:eastAsia="Calibri" w:hAnsi="Times New Roman" w:cs="Times New Roman"/>
          <w:sz w:val="28"/>
          <w:szCs w:val="28"/>
          <w:lang w:bidi="ar-IQ"/>
        </w:rPr>
        <w:t xml:space="preserve">Cronbach's alpha values were estimated to check the internal consistency of the data after data collection, and Cronbach‘s alpha is a scale tool of reliability </w:t>
      </w:r>
      <w:r w:rsidRPr="00C85AF5">
        <w:rPr>
          <w:rFonts w:ascii="Times New Roman" w:eastAsia="Calibri" w:hAnsi="Times New Roman" w:cs="Times New Roman"/>
          <w:sz w:val="28"/>
          <w:szCs w:val="28"/>
          <w:lang w:bidi="ar-IQ"/>
        </w:rPr>
        <w:fldChar w:fldCharType="begin"/>
      </w:r>
      <w:r w:rsidRPr="00C85AF5">
        <w:rPr>
          <w:rFonts w:ascii="Times New Roman" w:eastAsia="Calibri" w:hAnsi="Times New Roman" w:cs="Times New Roman"/>
          <w:sz w:val="28"/>
          <w:szCs w:val="28"/>
          <w:lang w:bidi="ar-IQ"/>
        </w:rPr>
        <w:instrText xml:space="preserve"> ADDIN EN.CITE &lt;EndNote&gt;&lt;Cite&gt;&lt;Author&gt;Zhong&lt;/Author&gt;&lt;Year&gt;2017&lt;/Year&gt;&lt;RecNum&gt;20&lt;/RecNum&gt;&lt;DisplayText&gt;(Zhong et al., 2017)&lt;/DisplayText&gt;&lt;record&gt;&lt;rec-number&gt;20&lt;/rec-number&gt;&lt;foreign-keys&gt;&lt;key app="EN" db-id="a9avdzrxiaztt2epxwcvrst0v0sw2ar9apsf" timestamp="1700902177"&gt;20&lt;/key&gt;&lt;/foreign-keys&gt;&lt;ref-type name="Journal Article"&gt;17&lt;/ref-type&gt;&lt;contributors&gt;&lt;authors&gt;&lt;author&gt;Zhong, Yan&lt;/author&gt;&lt;author&gt;Xu, Tianqiu&lt;/author&gt;&lt;author&gt;Dong, Ruijuan&lt;/author&gt;&lt;author&gt;Lyu, Jing&lt;/author&gt;&lt;author&gt;Liu, Bo&lt;/author&gt;&lt;author&gt;Chen, Xueqing %J International Journal of Pediatric Otorhinolaryngology&lt;/author&gt;&lt;/authors&gt;&lt;/contributors&gt;&lt;titles&gt;&lt;title&gt;The analysis of reliability and validity of the IT-MAIS, MAIS and MUSS&lt;/title&gt;&lt;/titles&gt;&lt;pages&gt;106-110&lt;/pages&gt;&lt;volume&gt;96&lt;/volume&gt;&lt;dates&gt;&lt;year&gt;2017&lt;/year&gt;&lt;/dates&gt;&lt;isbn&gt;0165-5876&lt;/isbn&gt;&lt;urls&gt;&lt;/urls&gt;&lt;/record&gt;&lt;/Cite&gt;&lt;/EndNote&gt;</w:instrText>
      </w:r>
      <w:r w:rsidRPr="00C85AF5">
        <w:rPr>
          <w:rFonts w:ascii="Times New Roman" w:eastAsia="Calibri" w:hAnsi="Times New Roman" w:cs="Times New Roman"/>
          <w:sz w:val="28"/>
          <w:szCs w:val="28"/>
          <w:lang w:bidi="ar-IQ"/>
        </w:rPr>
        <w:fldChar w:fldCharType="separate"/>
      </w:r>
      <w:r w:rsidRPr="00C85AF5">
        <w:rPr>
          <w:rFonts w:ascii="Times New Roman" w:eastAsia="Calibri" w:hAnsi="Times New Roman" w:cs="Times New Roman"/>
          <w:noProof/>
          <w:sz w:val="28"/>
          <w:szCs w:val="28"/>
          <w:lang w:bidi="ar-IQ"/>
        </w:rPr>
        <w:t>(Zhong et al., 2017)</w:t>
      </w:r>
      <w:r w:rsidRPr="00C85AF5">
        <w:rPr>
          <w:rFonts w:ascii="Times New Roman" w:eastAsia="Calibri" w:hAnsi="Times New Roman" w:cs="Times New Roman"/>
          <w:sz w:val="28"/>
          <w:szCs w:val="28"/>
          <w:lang w:bidi="ar-IQ"/>
        </w:rPr>
        <w:fldChar w:fldCharType="end"/>
      </w:r>
      <w:r w:rsidRPr="00C85AF5">
        <w:rPr>
          <w:rFonts w:ascii="Times New Roman" w:eastAsia="Calibri" w:hAnsi="Times New Roman" w:cs="Times New Roman"/>
          <w:sz w:val="28"/>
          <w:szCs w:val="28"/>
          <w:lang w:bidi="ar-IQ"/>
        </w:rPr>
        <w:t xml:space="preserve">; </w:t>
      </w:r>
      <w:r w:rsidRPr="00C85AF5">
        <w:rPr>
          <w:rFonts w:ascii="Times New Roman" w:eastAsia="Calibri" w:hAnsi="Times New Roman" w:cs="Times New Roman"/>
          <w:sz w:val="28"/>
          <w:szCs w:val="28"/>
          <w:lang w:bidi="ar-IQ"/>
        </w:rPr>
        <w:fldChar w:fldCharType="begin"/>
      </w:r>
      <w:r w:rsidRPr="00C85AF5">
        <w:rPr>
          <w:rFonts w:ascii="Times New Roman" w:eastAsia="Calibri" w:hAnsi="Times New Roman" w:cs="Times New Roman"/>
          <w:sz w:val="28"/>
          <w:szCs w:val="28"/>
          <w:lang w:bidi="ar-IQ"/>
        </w:rPr>
        <w:instrText xml:space="preserve"> ADDIN EN.CITE &lt;EndNote&gt;&lt;Cite&gt;&lt;Author&gt;Vaske&lt;/Author&gt;&lt;Year&gt;2017&lt;/Year&gt;&lt;RecNum&gt;21&lt;/RecNum&gt;&lt;DisplayText&gt;(Vaske et al., 2017)&lt;/DisplayText&gt;&lt;record&gt;&lt;rec-number&gt;21&lt;/rec-number&gt;&lt;foreign-keys&gt;&lt;key app="EN" db-id="a9avdzrxiaztt2epxwcvrst0v0sw2ar9apsf" timestamp="1700902525"&gt;21&lt;/key&gt;&lt;/foreign-keys&gt;&lt;ref-type name="Journal Article"&gt;17&lt;/ref-type&gt;&lt;contributors&gt;&lt;authors&gt;&lt;author&gt;Vaske, Jerry J&lt;/author&gt;&lt;author&gt;Beaman, Jay&lt;/author&gt;&lt;author&gt;Sponarski, Carly C %J Leisure sciences&lt;/author&gt;&lt;/authors&gt;&lt;/contributors&gt;&lt;titles&gt;&lt;title&gt;Rethinking internal consistency in Cronbach&amp;apos;s alpha&lt;/title&gt;&lt;/titles&gt;&lt;pages&gt;163-173&lt;/pages&gt;&lt;volume&gt;39&lt;/volume&gt;&lt;number&gt;2&lt;/number&gt;&lt;dates&gt;&lt;year&gt;2017&lt;/year&gt;&lt;/dates&gt;&lt;isbn&gt;0149-0400&lt;/isbn&gt;&lt;urls&gt;&lt;/urls&gt;&lt;/record&gt;&lt;/Cite&gt;&lt;/EndNote&gt;</w:instrText>
      </w:r>
      <w:r w:rsidRPr="00C85AF5">
        <w:rPr>
          <w:rFonts w:ascii="Times New Roman" w:eastAsia="Calibri" w:hAnsi="Times New Roman" w:cs="Times New Roman"/>
          <w:sz w:val="28"/>
          <w:szCs w:val="28"/>
          <w:lang w:bidi="ar-IQ"/>
        </w:rPr>
        <w:fldChar w:fldCharType="separate"/>
      </w:r>
      <w:r w:rsidRPr="00C85AF5">
        <w:rPr>
          <w:rFonts w:ascii="Times New Roman" w:eastAsia="Calibri" w:hAnsi="Times New Roman" w:cs="Times New Roman"/>
          <w:noProof/>
          <w:sz w:val="28"/>
          <w:szCs w:val="28"/>
          <w:lang w:bidi="ar-IQ"/>
        </w:rPr>
        <w:t>(Vaske et al., 2017)</w:t>
      </w:r>
      <w:r w:rsidRPr="00C85AF5">
        <w:rPr>
          <w:rFonts w:ascii="Times New Roman" w:eastAsia="Calibri" w:hAnsi="Times New Roman" w:cs="Times New Roman"/>
          <w:sz w:val="28"/>
          <w:szCs w:val="28"/>
          <w:lang w:bidi="ar-IQ"/>
        </w:rPr>
        <w:fldChar w:fldCharType="end"/>
      </w:r>
      <w:r w:rsidRPr="00C85AF5">
        <w:rPr>
          <w:rFonts w:ascii="Times New Roman" w:eastAsia="Calibri" w:hAnsi="Times New Roman" w:cs="Times New Roman"/>
          <w:sz w:val="28"/>
          <w:szCs w:val="28"/>
          <w:lang w:bidi="ar-IQ"/>
        </w:rPr>
        <w:t xml:space="preserve">; </w:t>
      </w:r>
      <w:r w:rsidRPr="00C85AF5">
        <w:rPr>
          <w:rFonts w:ascii="Times New Roman" w:eastAsia="Calibri" w:hAnsi="Times New Roman" w:cs="Times New Roman"/>
          <w:sz w:val="28"/>
          <w:szCs w:val="28"/>
          <w:lang w:bidi="ar-IQ"/>
        </w:rPr>
        <w:fldChar w:fldCharType="begin"/>
      </w:r>
      <w:r w:rsidRPr="00C85AF5">
        <w:rPr>
          <w:rFonts w:ascii="Times New Roman" w:eastAsia="Calibri" w:hAnsi="Times New Roman" w:cs="Times New Roman"/>
          <w:sz w:val="28"/>
          <w:szCs w:val="28"/>
          <w:lang w:bidi="ar-IQ"/>
        </w:rPr>
        <w:instrText xml:space="preserve"> ADDIN EN.CITE &lt;EndNote&gt;&lt;Cite&gt;&lt;Author&gt;Taber&lt;/Author&gt;&lt;Year&gt;2018&lt;/Year&gt;&lt;RecNum&gt;22&lt;/RecNum&gt;&lt;DisplayText&gt;(Taber, 2018)&lt;/DisplayText&gt;&lt;record&gt;&lt;rec-number&gt;22&lt;/rec-number&gt;&lt;foreign-keys&gt;&lt;key app="EN" db-id="a9avdzrxiaztt2epxwcvrst0v0sw2ar9apsf" timestamp="1700902644"&gt;22&lt;/key&gt;&lt;/foreign-keys&gt;&lt;ref-type name="Journal Article"&gt;17&lt;/ref-type&gt;&lt;contributors&gt;&lt;authors&gt;&lt;author&gt;Taber, Keith S %J Research in science education&lt;/author&gt;&lt;/authors&gt;&lt;/contributors&gt;&lt;titles&gt;&lt;title&gt;The use of Cronbach’s alpha when developing and reporting research instruments in science education&lt;/title&gt;&lt;/titles&gt;&lt;pages&gt;1273-1296&lt;/pages&gt;&lt;volume&gt;48&lt;/volume&gt;&lt;dates&gt;&lt;year&gt;2018&lt;/year&gt;&lt;/dates&gt;&lt;isbn&gt;0157-244X&lt;/isbn&gt;&lt;urls&gt;&lt;/urls&gt;&lt;/record&gt;&lt;/Cite&gt;&lt;/EndNote&gt;</w:instrText>
      </w:r>
      <w:r w:rsidRPr="00C85AF5">
        <w:rPr>
          <w:rFonts w:ascii="Times New Roman" w:eastAsia="Calibri" w:hAnsi="Times New Roman" w:cs="Times New Roman"/>
          <w:sz w:val="28"/>
          <w:szCs w:val="28"/>
          <w:lang w:bidi="ar-IQ"/>
        </w:rPr>
        <w:fldChar w:fldCharType="separate"/>
      </w:r>
      <w:r w:rsidRPr="00C85AF5">
        <w:rPr>
          <w:rFonts w:ascii="Times New Roman" w:eastAsia="Calibri" w:hAnsi="Times New Roman" w:cs="Times New Roman"/>
          <w:noProof/>
          <w:sz w:val="28"/>
          <w:szCs w:val="28"/>
          <w:lang w:bidi="ar-IQ"/>
        </w:rPr>
        <w:t>(Taber, 2018)</w:t>
      </w:r>
      <w:r w:rsidRPr="00C85AF5">
        <w:rPr>
          <w:rFonts w:ascii="Times New Roman" w:eastAsia="Calibri" w:hAnsi="Times New Roman" w:cs="Times New Roman"/>
          <w:sz w:val="28"/>
          <w:szCs w:val="28"/>
          <w:lang w:bidi="ar-IQ"/>
        </w:rPr>
        <w:fldChar w:fldCharType="end"/>
      </w:r>
      <w:r w:rsidRPr="00C85AF5">
        <w:rPr>
          <w:rFonts w:ascii="Times New Roman" w:eastAsia="Calibri" w:hAnsi="Times New Roman" w:cs="Times New Roman"/>
          <w:sz w:val="28"/>
          <w:szCs w:val="28"/>
          <w:lang w:bidi="ar-IQ"/>
        </w:rPr>
        <w:t xml:space="preserve">. More specifically, alpha is a lower bound for true scan reliability. </w:t>
      </w:r>
    </w:p>
    <w:p w:rsidR="00C85AF5" w:rsidRPr="00C85AF5" w:rsidRDefault="00C85AF5" w:rsidP="00C85AF5">
      <w:pPr>
        <w:spacing w:after="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 xml:space="preserve">For an exploratory or experimental study, it is suggested that the reliability be equal to 0.60 or higher </w:t>
      </w:r>
      <w:r w:rsidRPr="00C85AF5">
        <w:rPr>
          <w:rFonts w:ascii="Times New Roman" w:eastAsia="Calibri" w:hAnsi="Times New Roman" w:cs="Times New Roman"/>
          <w:sz w:val="28"/>
          <w:szCs w:val="28"/>
          <w:lang w:bidi="ar-IQ"/>
        </w:rPr>
        <w:fldChar w:fldCharType="begin"/>
      </w:r>
      <w:r w:rsidRPr="00C85AF5">
        <w:rPr>
          <w:rFonts w:ascii="Times New Roman" w:eastAsia="Calibri" w:hAnsi="Times New Roman" w:cs="Times New Roman"/>
          <w:sz w:val="28"/>
          <w:szCs w:val="28"/>
          <w:lang w:bidi="ar-IQ"/>
        </w:rPr>
        <w:instrText xml:space="preserve"> ADDIN EN.CITE &lt;EndNote&gt;&lt;Cite&gt;&lt;Author&gt;Straub&lt;/Author&gt;&lt;Year&gt;2004&lt;/Year&gt;&lt;RecNum&gt;26&lt;/RecNum&gt;&lt;DisplayText&gt;(Straub et al., 2004, Hinton, 2014)&lt;/DisplayText&gt;&lt;record&gt;&lt;rec-number&gt;26&lt;/rec-number&gt;&lt;foreign-keys&gt;&lt;key app="EN" db-id="a9avdzrxiaztt2epxwcvrst0v0sw2ar9apsf" timestamp="1700903402"&gt;26&lt;/key&gt;&lt;/foreign-keys&gt;&lt;ref-type name="Journal Article"&gt;17&lt;/ref-type&gt;&lt;contributors&gt;&lt;authors&gt;&lt;author&gt;Straub, Detmar&lt;/author&gt;&lt;author&gt;Boudreau, Marie-Claude&lt;/author&gt;&lt;author&gt;Gefen, David %J Communications of the Association for Information systems&lt;/author&gt;&lt;/authors&gt;&lt;/contributors&gt;&lt;titles&gt;&lt;title&gt;Validation guidelines for IS positivist research&lt;/title&gt;&lt;/titles&gt;&lt;pages&gt;24&lt;/pages&gt;&lt;volume&gt;13&lt;/volume&gt;&lt;number&gt;1&lt;/number&gt;&lt;dates&gt;&lt;year&gt;2004&lt;/year&gt;&lt;/dates&gt;&lt;isbn&gt;1529-3181&lt;/isbn&gt;&lt;urls&gt;&lt;/urls&gt;&lt;/record&gt;&lt;/Cite&gt;&lt;Cite&gt;&lt;Author&gt;Hinton&lt;/Author&gt;&lt;Year&gt;2014&lt;/Year&gt;&lt;RecNum&gt;102&lt;/RecNum&gt;&lt;record&gt;&lt;rec-number&gt;102&lt;/rec-number&gt;&lt;foreign-keys&gt;&lt;key app="EN" db-id="9spzx9t20pvxenev0tipzdr82dazvrfef9fe" timestamp="1702495753"&gt;102&lt;/key&gt;&lt;/foreign-keys&gt;&lt;ref-type name="Book"&gt;6&lt;/ref-type&gt;&lt;contributors&gt;&lt;authors&gt;&lt;author&gt;Hinton, Perry R&lt;/author&gt;&lt;/authors&gt;&lt;/contributors&gt;&lt;titles&gt;&lt;title&gt;Statistics explained&lt;/title&gt;&lt;/titles&gt;&lt;dates&gt;&lt;year&gt;2014&lt;/year&gt;&lt;/dates&gt;&lt;publisher&gt;Routledge&lt;/publisher&gt;&lt;isbn&gt;1317753925&lt;/isbn&gt;&lt;urls&gt;&lt;/urls&gt;&lt;/record&gt;&lt;/Cite&gt;&lt;/EndNote&gt;</w:instrText>
      </w:r>
      <w:r w:rsidRPr="00C85AF5">
        <w:rPr>
          <w:rFonts w:ascii="Times New Roman" w:eastAsia="Calibri" w:hAnsi="Times New Roman" w:cs="Times New Roman"/>
          <w:sz w:val="28"/>
          <w:szCs w:val="28"/>
          <w:lang w:bidi="ar-IQ"/>
        </w:rPr>
        <w:fldChar w:fldCharType="separate"/>
      </w:r>
      <w:r w:rsidRPr="00C85AF5">
        <w:rPr>
          <w:rFonts w:ascii="Times New Roman" w:eastAsia="Calibri" w:hAnsi="Times New Roman" w:cs="Times New Roman"/>
          <w:noProof/>
          <w:sz w:val="28"/>
          <w:szCs w:val="28"/>
          <w:lang w:bidi="ar-IQ"/>
        </w:rPr>
        <w:t>(Straub et al., 2004, Hinton, 2014)</w:t>
      </w:r>
      <w:r w:rsidRPr="00C85AF5">
        <w:rPr>
          <w:rFonts w:ascii="Times New Roman" w:eastAsia="Calibri" w:hAnsi="Times New Roman" w:cs="Times New Roman"/>
          <w:sz w:val="28"/>
          <w:szCs w:val="28"/>
          <w:lang w:bidi="ar-IQ"/>
        </w:rPr>
        <w:fldChar w:fldCharType="end"/>
      </w:r>
      <w:r w:rsidRPr="00C85AF5">
        <w:rPr>
          <w:rFonts w:ascii="Times New Roman" w:eastAsia="Calibri" w:hAnsi="Times New Roman" w:cs="Times New Roman"/>
          <w:sz w:val="28"/>
          <w:szCs w:val="28"/>
          <w:lang w:bidi="ar-IQ"/>
        </w:rPr>
        <w:t xml:space="preserve"> suggested four cut-off points for reliability, which include excellent reliability (0.90 and above), high reliability (0.70-0.90), moderate reliability (0.50-0.70), and low reliability (0.50 and below) </w:t>
      </w:r>
      <w:r w:rsidRPr="00C85AF5">
        <w:rPr>
          <w:rFonts w:ascii="Times New Roman" w:eastAsia="Calibri" w:hAnsi="Times New Roman" w:cs="Times New Roman"/>
          <w:sz w:val="28"/>
          <w:szCs w:val="28"/>
          <w:lang w:bidi="ar-IQ"/>
        </w:rPr>
        <w:fldChar w:fldCharType="begin"/>
      </w:r>
      <w:r w:rsidRPr="00C85AF5">
        <w:rPr>
          <w:rFonts w:ascii="Times New Roman" w:eastAsia="Calibri" w:hAnsi="Times New Roman" w:cs="Times New Roman"/>
          <w:sz w:val="28"/>
          <w:szCs w:val="28"/>
          <w:lang w:bidi="ar-IQ"/>
        </w:rPr>
        <w:instrText xml:space="preserve"> ADDIN EN.CITE &lt;EndNote&gt;&lt;Cite&gt;&lt;Author&gt;Hinton&lt;/Author&gt;&lt;Year&gt;2014&lt;/Year&gt;&lt;RecNum&gt;102&lt;/RecNum&gt;&lt;DisplayText&gt;(Hinton, 2014)&lt;/DisplayText&gt;&lt;record&gt;&lt;rec-number&gt;102&lt;/rec-number&gt;&lt;foreign-keys&gt;&lt;key app="EN" db-id="9spzx9t20pvxenev0tipzdr82dazvrfef9fe" timestamp="1702495753"&gt;102&lt;/key&gt;&lt;/foreign-keys&gt;&lt;ref-type name="Book"&gt;6&lt;/ref-type&gt;&lt;contributors&gt;&lt;authors&gt;&lt;author&gt;Hinton, Perry R&lt;/author&gt;&lt;/authors&gt;&lt;/contributors&gt;&lt;titles&gt;&lt;title&gt;Statistics explained&lt;/title&gt;&lt;/titles&gt;&lt;dates&gt;&lt;year&gt;2014&lt;/year&gt;&lt;/dates&gt;&lt;publisher&gt;Routledge&lt;/publisher&gt;&lt;isbn&gt;1317753925&lt;/isbn&gt;&lt;urls&gt;&lt;/urls&gt;&lt;/record&gt;&lt;/Cite&gt;&lt;/EndNote&gt;</w:instrText>
      </w:r>
      <w:r w:rsidRPr="00C85AF5">
        <w:rPr>
          <w:rFonts w:ascii="Times New Roman" w:eastAsia="Calibri" w:hAnsi="Times New Roman" w:cs="Times New Roman"/>
          <w:sz w:val="28"/>
          <w:szCs w:val="28"/>
          <w:lang w:bidi="ar-IQ"/>
        </w:rPr>
        <w:fldChar w:fldCharType="separate"/>
      </w:r>
      <w:r w:rsidRPr="00C85AF5">
        <w:rPr>
          <w:rFonts w:ascii="Times New Roman" w:eastAsia="Calibri" w:hAnsi="Times New Roman" w:cs="Times New Roman"/>
          <w:noProof/>
          <w:sz w:val="28"/>
          <w:szCs w:val="28"/>
          <w:lang w:bidi="ar-IQ"/>
        </w:rPr>
        <w:t>(Hinton, 2014)</w:t>
      </w:r>
      <w:r w:rsidRPr="00C85AF5">
        <w:rPr>
          <w:rFonts w:ascii="Times New Roman" w:eastAsia="Calibri" w:hAnsi="Times New Roman" w:cs="Times New Roman"/>
          <w:sz w:val="28"/>
          <w:szCs w:val="28"/>
          <w:lang w:bidi="ar-IQ"/>
        </w:rPr>
        <w:fldChar w:fldCharType="end"/>
      </w:r>
      <w:r w:rsidRPr="00C85AF5">
        <w:rPr>
          <w:rFonts w:ascii="Times New Roman" w:eastAsia="Calibri" w:hAnsi="Times New Roman" w:cs="Times New Roman"/>
          <w:sz w:val="28"/>
          <w:szCs w:val="28"/>
          <w:lang w:bidi="ar-IQ"/>
        </w:rPr>
        <w:t xml:space="preserve">. Although reliability is important to study, it is not sufficient unless combined with validity. In other words, for a test to be reliable, it must also be valid </w:t>
      </w:r>
      <w:r w:rsidRPr="00C85AF5">
        <w:rPr>
          <w:rFonts w:ascii="Times New Roman" w:eastAsia="Calibri" w:hAnsi="Times New Roman" w:cs="Times New Roman"/>
          <w:sz w:val="28"/>
          <w:szCs w:val="28"/>
          <w:lang w:bidi="ar-IQ"/>
        </w:rPr>
        <w:fldChar w:fldCharType="begin"/>
      </w:r>
      <w:r w:rsidRPr="00C85AF5">
        <w:rPr>
          <w:rFonts w:ascii="Times New Roman" w:eastAsia="Calibri" w:hAnsi="Times New Roman" w:cs="Times New Roman"/>
          <w:sz w:val="28"/>
          <w:szCs w:val="28"/>
          <w:lang w:bidi="ar-IQ"/>
        </w:rPr>
        <w:instrText xml:space="preserve"> ADDIN EN.CITE &lt;EndNote&gt;&lt;Cite&gt;&lt;Author&gt;Blbas&lt;/Author&gt;&lt;Year&gt;2017&lt;/Year&gt;&lt;RecNum&gt;28&lt;/RecNum&gt;&lt;DisplayText&gt;(Blbas et al., 2017)&lt;/DisplayText&gt;&lt;record&gt;&lt;rec-number&gt;28&lt;/rec-number&gt;&lt;foreign-keys&gt;&lt;key app="EN" db-id="a9avdzrxiaztt2epxwcvrst0v0sw2ar9apsf" timestamp="1700903785"&gt;28&lt;/key&gt;&lt;/foreign-keys&gt;&lt;ref-type name="Journal Article"&gt;17&lt;/ref-type&gt;&lt;contributors&gt;&lt;authors&gt;&lt;author&gt;Blbas, Hazhar Talaat Abubaker&lt;/author&gt;&lt;author&gt;Mahmood, Saman Hussein&lt;/author&gt;&lt;author&gt;Omer, Cheman Abubaker %J ZANCO Journal of Pure&lt;/author&gt;&lt;author&gt;Applied Sciences&lt;/author&gt;&lt;/authors&gt;&lt;/contributors&gt;&lt;titles&gt;&lt;title&gt;A Comparison results of factor analysis and cluster analysis to the migration of young people from the Kurdistan Region to Europe&lt;/title&gt;&lt;/titles&gt;&lt;pages&gt;44-55&lt;/pages&gt;&lt;volume&gt;29&lt;/volume&gt;&lt;number&gt;4&lt;/number&gt;&lt;dates&gt;&lt;year&gt;2017&lt;/year&gt;&lt;/dates&gt;&lt;isbn&gt;2412-3986&lt;/isbn&gt;&lt;urls&gt;&lt;/urls&gt;&lt;/record&gt;&lt;/Cite&gt;&lt;/EndNote&gt;</w:instrText>
      </w:r>
      <w:r w:rsidRPr="00C85AF5">
        <w:rPr>
          <w:rFonts w:ascii="Times New Roman" w:eastAsia="Calibri" w:hAnsi="Times New Roman" w:cs="Times New Roman"/>
          <w:sz w:val="28"/>
          <w:szCs w:val="28"/>
          <w:lang w:bidi="ar-IQ"/>
        </w:rPr>
        <w:fldChar w:fldCharType="separate"/>
      </w:r>
      <w:r w:rsidRPr="00C85AF5">
        <w:rPr>
          <w:rFonts w:ascii="Times New Roman" w:eastAsia="Calibri" w:hAnsi="Times New Roman" w:cs="Times New Roman"/>
          <w:noProof/>
          <w:sz w:val="28"/>
          <w:szCs w:val="28"/>
          <w:lang w:bidi="ar-IQ"/>
        </w:rPr>
        <w:t>(Blbas et al., 2017)</w:t>
      </w:r>
      <w:r w:rsidRPr="00C85AF5">
        <w:rPr>
          <w:rFonts w:ascii="Times New Roman" w:eastAsia="Calibri" w:hAnsi="Times New Roman" w:cs="Times New Roman"/>
          <w:sz w:val="28"/>
          <w:szCs w:val="28"/>
          <w:lang w:bidi="ar-IQ"/>
        </w:rPr>
        <w:fldChar w:fldCharType="end"/>
      </w:r>
      <w:r w:rsidRPr="00C85AF5">
        <w:rPr>
          <w:rFonts w:ascii="Times New Roman" w:eastAsia="Calibri" w:hAnsi="Times New Roman" w:cs="Times New Roman"/>
          <w:sz w:val="28"/>
          <w:szCs w:val="28"/>
          <w:lang w:bidi="ar-IQ"/>
        </w:rPr>
        <w:t>. Table 4.2. illustrates the reliability of each construct. Cronbach's high value for all formulations indicates that it is internally consistent and measures the content of the same construct.</w:t>
      </w:r>
    </w:p>
    <w:p w:rsidR="00C85AF5" w:rsidRPr="00C85AF5" w:rsidRDefault="00C85AF5" w:rsidP="00C85AF5">
      <w:pPr>
        <w:spacing w:after="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Table 4.2. shows the values of the Cronbach‘s coefficient estimated for testing the internal consistency of the measurement. The result for Cronbach‘s alpha is (0.819, 0.927, and 0.969) for pre pain, stiffness, and physical activity scores respectively</w:t>
      </w:r>
    </w:p>
    <w:p w:rsidR="00C85AF5" w:rsidRPr="00C85AF5" w:rsidRDefault="00C85AF5" w:rsidP="00C85AF5">
      <w:pPr>
        <w:spacing w:after="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In addition, the result for Cronbach‘s alpha is (0.963, 0.909, and 0.972) for post pain, stiffness, and physical activity scores respectively.</w:t>
      </w:r>
    </w:p>
    <w:p w:rsidR="00C85AF5" w:rsidRPr="00C85AF5" w:rsidRDefault="00C85AF5" w:rsidP="00C85AF5">
      <w:pPr>
        <w:spacing w:after="0" w:line="360" w:lineRule="auto"/>
        <w:jc w:val="both"/>
        <w:rPr>
          <w:rFonts w:ascii="Times New Roman" w:eastAsia="Calibri" w:hAnsi="Times New Roman" w:cs="Times New Roman"/>
          <w:sz w:val="28"/>
          <w:szCs w:val="28"/>
          <w:lang w:bidi="ar-IQ"/>
        </w:rPr>
      </w:pPr>
    </w:p>
    <w:p w:rsidR="00C85AF5" w:rsidRPr="00C85AF5" w:rsidRDefault="00C85AF5" w:rsidP="00C85AF5">
      <w:pPr>
        <w:spacing w:after="0" w:line="360" w:lineRule="auto"/>
        <w:jc w:val="both"/>
        <w:rPr>
          <w:rFonts w:ascii="Times New Roman" w:eastAsia="Calibri" w:hAnsi="Times New Roman" w:cs="Times New Roman"/>
          <w:sz w:val="28"/>
          <w:szCs w:val="28"/>
          <w:lang w:bidi="ar-IQ"/>
        </w:rPr>
      </w:pPr>
    </w:p>
    <w:p w:rsidR="00C85AF5" w:rsidRPr="00C85AF5" w:rsidRDefault="00C85AF5" w:rsidP="00C85AF5">
      <w:pPr>
        <w:spacing w:after="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lastRenderedPageBreak/>
        <w:t xml:space="preserve">The table 4.2. </w:t>
      </w:r>
      <w:r w:rsidRPr="00C85AF5">
        <w:rPr>
          <w:rFonts w:ascii="Times New Roman" w:eastAsia="Calibri" w:hAnsi="Times New Roman" w:cs="Times New Roman"/>
          <w:sz w:val="28"/>
          <w:szCs w:val="28"/>
          <w:lang w:bidi="ar-IQ"/>
        </w:rPr>
        <w:t>represents that all the constructs have passed the reliability test where all α–values have exceeded the recommended minimum value of Cronbach’s alpha (Blbas, 2017).</w:t>
      </w:r>
    </w:p>
    <w:p w:rsidR="00C85AF5" w:rsidRPr="00C85AF5" w:rsidRDefault="00C85AF5" w:rsidP="00C85AF5">
      <w:pPr>
        <w:spacing w:after="0" w:line="360" w:lineRule="auto"/>
        <w:jc w:val="both"/>
        <w:rPr>
          <w:rFonts w:ascii="Times New Roman" w:eastAsia="Times New Roman" w:hAnsi="Times New Roman" w:cs="Times New Roman"/>
          <w:sz w:val="24"/>
          <w:szCs w:val="24"/>
        </w:rPr>
      </w:pPr>
    </w:p>
    <w:p w:rsidR="00C85AF5" w:rsidRPr="00C85AF5" w:rsidRDefault="00C85AF5" w:rsidP="00C85AF5">
      <w:pPr>
        <w:spacing w:after="0" w:line="360" w:lineRule="auto"/>
        <w:jc w:val="both"/>
        <w:rPr>
          <w:rFonts w:ascii="Times New Roman" w:eastAsia="Times New Roman" w:hAnsi="Times New Roman" w:cs="Times New Roman"/>
          <w:sz w:val="24"/>
          <w:szCs w:val="24"/>
        </w:rPr>
      </w:pPr>
    </w:p>
    <w:p w:rsidR="00C85AF5" w:rsidRPr="00C85AF5" w:rsidRDefault="00C85AF5" w:rsidP="00C85AF5">
      <w:pPr>
        <w:spacing w:after="0" w:line="240" w:lineRule="auto"/>
        <w:jc w:val="center"/>
        <w:rPr>
          <w:rFonts w:ascii="Times New Roman" w:eastAsia="Calibri" w:hAnsi="Times New Roman" w:cs="Times New Roman"/>
          <w:b/>
          <w:bCs/>
          <w:sz w:val="28"/>
          <w:szCs w:val="28"/>
        </w:rPr>
      </w:pPr>
      <w:r w:rsidRPr="00C85AF5">
        <w:rPr>
          <w:rFonts w:ascii="Times New Roman" w:eastAsia="Calibri" w:hAnsi="Times New Roman" w:cs="Times New Roman"/>
          <w:b/>
          <w:bCs/>
          <w:sz w:val="28"/>
          <w:szCs w:val="28"/>
        </w:rPr>
        <w:t xml:space="preserve">Table 4.2. </w:t>
      </w:r>
      <w:r w:rsidRPr="00C85AF5">
        <w:rPr>
          <w:rFonts w:ascii="Times New Roman" w:eastAsia="Calibri" w:hAnsi="Times New Roman" w:cs="Times New Roman"/>
          <w:sz w:val="28"/>
          <w:szCs w:val="28"/>
        </w:rPr>
        <w:t>Reliability of measurements for all variables</w:t>
      </w:r>
    </w:p>
    <w:p w:rsidR="00C85AF5" w:rsidRPr="00C85AF5" w:rsidRDefault="00C85AF5" w:rsidP="00C85AF5">
      <w:pPr>
        <w:spacing w:after="0" w:line="240" w:lineRule="auto"/>
        <w:jc w:val="both"/>
        <w:rPr>
          <w:rFonts w:ascii="Times New Roman" w:eastAsia="Calibri" w:hAnsi="Times New Roman" w:cs="Times New Roman"/>
          <w:b/>
          <w:bCs/>
          <w:sz w:val="24"/>
          <w:szCs w:val="24"/>
        </w:rPr>
      </w:pPr>
    </w:p>
    <w:tbl>
      <w:tblPr>
        <w:tblW w:w="6166" w:type="dxa"/>
        <w:jc w:val="center"/>
        <w:tblLook w:val="04A0" w:firstRow="1" w:lastRow="0" w:firstColumn="1" w:lastColumn="0" w:noHBand="0" w:noVBand="1"/>
      </w:tblPr>
      <w:tblGrid>
        <w:gridCol w:w="1040"/>
        <w:gridCol w:w="2645"/>
        <w:gridCol w:w="1087"/>
        <w:gridCol w:w="1394"/>
      </w:tblGrid>
      <w:tr w:rsidR="00C85AF5" w:rsidRPr="00C85AF5" w:rsidTr="00631D4F">
        <w:trPr>
          <w:trHeight w:val="371"/>
          <w:jc w:val="center"/>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2645"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Constructs</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Number of items</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xml:space="preserve">Cronbach's Alpha </w:t>
            </w:r>
          </w:p>
        </w:tc>
      </w:tr>
      <w:tr w:rsidR="00C85AF5" w:rsidRPr="00C85AF5" w:rsidTr="00631D4F">
        <w:trPr>
          <w:trHeight w:val="371"/>
          <w:jc w:val="center"/>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264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Pain</w:t>
            </w:r>
          </w:p>
        </w:tc>
        <w:tc>
          <w:tcPr>
            <w:tcW w:w="108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w:t>
            </w:r>
          </w:p>
        </w:tc>
        <w:tc>
          <w:tcPr>
            <w:tcW w:w="1394"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0.819</w:t>
            </w:r>
          </w:p>
        </w:tc>
      </w:tr>
      <w:tr w:rsidR="00C85AF5" w:rsidRPr="00C85AF5" w:rsidTr="00631D4F">
        <w:trPr>
          <w:trHeight w:val="371"/>
          <w:jc w:val="center"/>
        </w:trPr>
        <w:tc>
          <w:tcPr>
            <w:tcW w:w="104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264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Stiffness</w:t>
            </w:r>
          </w:p>
        </w:tc>
        <w:tc>
          <w:tcPr>
            <w:tcW w:w="108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w:t>
            </w:r>
          </w:p>
        </w:tc>
        <w:tc>
          <w:tcPr>
            <w:tcW w:w="1394"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0.927</w:t>
            </w:r>
          </w:p>
        </w:tc>
      </w:tr>
      <w:tr w:rsidR="00C85AF5" w:rsidRPr="00C85AF5" w:rsidTr="00631D4F">
        <w:trPr>
          <w:trHeight w:val="371"/>
          <w:jc w:val="center"/>
        </w:trPr>
        <w:tc>
          <w:tcPr>
            <w:tcW w:w="104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264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Physical activity</w:t>
            </w:r>
          </w:p>
        </w:tc>
        <w:tc>
          <w:tcPr>
            <w:tcW w:w="108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w:t>
            </w:r>
          </w:p>
        </w:tc>
        <w:tc>
          <w:tcPr>
            <w:tcW w:w="1394"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0.969</w:t>
            </w:r>
          </w:p>
        </w:tc>
      </w:tr>
      <w:tr w:rsidR="00C85AF5" w:rsidRPr="00C85AF5" w:rsidTr="00631D4F">
        <w:trPr>
          <w:trHeight w:val="371"/>
          <w:jc w:val="center"/>
        </w:trPr>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264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Pain</w:t>
            </w:r>
          </w:p>
        </w:tc>
        <w:tc>
          <w:tcPr>
            <w:tcW w:w="108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w:t>
            </w:r>
          </w:p>
        </w:tc>
        <w:tc>
          <w:tcPr>
            <w:tcW w:w="1394"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0.863</w:t>
            </w:r>
          </w:p>
        </w:tc>
      </w:tr>
      <w:tr w:rsidR="00C85AF5" w:rsidRPr="00C85AF5" w:rsidTr="00631D4F">
        <w:trPr>
          <w:trHeight w:val="371"/>
          <w:jc w:val="center"/>
        </w:trPr>
        <w:tc>
          <w:tcPr>
            <w:tcW w:w="104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264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Stiffness</w:t>
            </w:r>
          </w:p>
        </w:tc>
        <w:tc>
          <w:tcPr>
            <w:tcW w:w="108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w:t>
            </w:r>
          </w:p>
        </w:tc>
        <w:tc>
          <w:tcPr>
            <w:tcW w:w="1394"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0.909</w:t>
            </w:r>
          </w:p>
        </w:tc>
      </w:tr>
      <w:tr w:rsidR="00C85AF5" w:rsidRPr="00C85AF5" w:rsidTr="00631D4F">
        <w:trPr>
          <w:trHeight w:val="388"/>
          <w:jc w:val="center"/>
        </w:trPr>
        <w:tc>
          <w:tcPr>
            <w:tcW w:w="104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264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Physical activity</w:t>
            </w:r>
          </w:p>
        </w:tc>
        <w:tc>
          <w:tcPr>
            <w:tcW w:w="108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w:t>
            </w:r>
          </w:p>
        </w:tc>
        <w:tc>
          <w:tcPr>
            <w:tcW w:w="1394"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0.972</w:t>
            </w:r>
          </w:p>
        </w:tc>
      </w:tr>
    </w:tbl>
    <w:p w:rsidR="00C85AF5" w:rsidRPr="00C85AF5" w:rsidRDefault="00C85AF5" w:rsidP="00C85AF5">
      <w:pPr>
        <w:spacing w:after="0" w:line="360" w:lineRule="auto"/>
        <w:jc w:val="both"/>
        <w:rPr>
          <w:rFonts w:ascii="Times New Roman" w:eastAsia="Times New Roman" w:hAnsi="Times New Roman" w:cs="Times New Roman"/>
          <w:b/>
          <w:bCs/>
          <w:sz w:val="28"/>
          <w:szCs w:val="28"/>
        </w:rPr>
      </w:pPr>
    </w:p>
    <w:p w:rsidR="00C85AF5" w:rsidRPr="00C85AF5" w:rsidRDefault="00C85AF5" w:rsidP="00C85AF5">
      <w:pPr>
        <w:spacing w:after="0" w:line="360" w:lineRule="auto"/>
        <w:jc w:val="both"/>
        <w:rPr>
          <w:rFonts w:ascii="Times New Roman" w:eastAsia="Times New Roman" w:hAnsi="Times New Roman" w:cs="Times New Roman"/>
          <w:b/>
          <w:bCs/>
          <w:sz w:val="28"/>
          <w:szCs w:val="28"/>
        </w:rPr>
      </w:pPr>
    </w:p>
    <w:p w:rsidR="00C85AF5" w:rsidRPr="00C85AF5" w:rsidRDefault="00C85AF5" w:rsidP="00C85AF5">
      <w:pPr>
        <w:spacing w:after="0" w:line="360" w:lineRule="auto"/>
        <w:jc w:val="both"/>
        <w:rPr>
          <w:rFonts w:ascii="Times New Roman" w:eastAsia="Times New Roman" w:hAnsi="Times New Roman" w:cs="Times New Roman"/>
          <w:b/>
          <w:bCs/>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r w:rsidRPr="00C85AF5">
        <w:rPr>
          <w:rFonts w:ascii="Times New Roman" w:eastAsia="Times New Roman" w:hAnsi="Times New Roman" w:cs="Times New Roman"/>
          <w:b/>
          <w:bCs/>
          <w:sz w:val="28"/>
          <w:szCs w:val="28"/>
        </w:rPr>
        <w:t>Table 4.3.</w:t>
      </w:r>
      <w:r w:rsidRPr="00C85AF5">
        <w:rPr>
          <w:rFonts w:ascii="Times New Roman" w:eastAsia="Times New Roman" w:hAnsi="Times New Roman" w:cs="Times New Roman"/>
          <w:sz w:val="28"/>
          <w:szCs w:val="28"/>
        </w:rPr>
        <w:t xml:space="preserve"> the descriptive statistics for pre-treatment pain scores, most of the participants in this survey said that they have severe pre-treatment pain (80%) compared to moderate pre-treatment pain score (20%) since none of them have mild or no pain. (Fig 4.7.)</w:t>
      </w:r>
    </w:p>
    <w:p w:rsidR="00C85AF5" w:rsidRPr="00C85AF5" w:rsidRDefault="00C85AF5" w:rsidP="00C85AF5">
      <w:pPr>
        <w:spacing w:after="0" w:line="360" w:lineRule="auto"/>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On the other hand, the mean of pre-treatment pain score (2.8) and it is closer to 3, it means, they have severe pain in general.</w:t>
      </w: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 xml:space="preserve">Table 4.3. </w:t>
      </w:r>
      <w:r w:rsidRPr="00C85AF5">
        <w:rPr>
          <w:rFonts w:ascii="Times New Roman" w:eastAsia="Calibri" w:hAnsi="Times New Roman" w:cs="Times New Roman"/>
          <w:sz w:val="28"/>
          <w:szCs w:val="28"/>
          <w:lang w:bidi="ar-IQ"/>
        </w:rPr>
        <w:t xml:space="preserve">Descriptive Statistics for </w:t>
      </w:r>
      <w:r w:rsidRPr="00C85AF5">
        <w:rPr>
          <w:rFonts w:ascii="Times New Roman" w:eastAsia="Times New Roman" w:hAnsi="Times New Roman" w:cs="Times New Roman"/>
          <w:sz w:val="28"/>
          <w:szCs w:val="28"/>
        </w:rPr>
        <w:t>pre-treatment</w:t>
      </w:r>
      <w:r w:rsidRPr="00C85AF5">
        <w:rPr>
          <w:rFonts w:ascii="Times New Roman" w:eastAsia="Calibri" w:hAnsi="Times New Roman" w:cs="Times New Roman"/>
          <w:sz w:val="28"/>
          <w:szCs w:val="28"/>
          <w:lang w:bidi="ar-IQ"/>
        </w:rPr>
        <w:t xml:space="preserve"> pain score</w:t>
      </w:r>
    </w:p>
    <w:p w:rsidR="00C85AF5" w:rsidRPr="00C85AF5" w:rsidRDefault="00C85AF5" w:rsidP="00C85AF5">
      <w:pPr>
        <w:spacing w:after="0" w:line="276" w:lineRule="auto"/>
        <w:jc w:val="both"/>
        <w:rPr>
          <w:rFonts w:ascii="Times New Roman" w:eastAsia="Calibri" w:hAnsi="Times New Roman" w:cs="Times New Roman"/>
          <w:sz w:val="28"/>
          <w:szCs w:val="28"/>
          <w:lang w:bidi="ar-IQ"/>
        </w:rPr>
      </w:pPr>
    </w:p>
    <w:tbl>
      <w:tblPr>
        <w:tblW w:w="6890" w:type="dxa"/>
        <w:jc w:val="center"/>
        <w:tblLook w:val="04A0" w:firstRow="1" w:lastRow="0" w:firstColumn="1" w:lastColumn="0" w:noHBand="0" w:noVBand="1"/>
      </w:tblPr>
      <w:tblGrid>
        <w:gridCol w:w="2870"/>
        <w:gridCol w:w="1005"/>
        <w:gridCol w:w="1005"/>
        <w:gridCol w:w="1005"/>
        <w:gridCol w:w="1005"/>
      </w:tblGrid>
      <w:tr w:rsidR="00C85AF5" w:rsidRPr="00C85AF5" w:rsidTr="00631D4F">
        <w:trPr>
          <w:trHeight w:val="671"/>
          <w:jc w:val="center"/>
        </w:trPr>
        <w:tc>
          <w:tcPr>
            <w:tcW w:w="28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No of Pt.</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SD</w:t>
            </w:r>
          </w:p>
        </w:tc>
      </w:tr>
      <w:tr w:rsidR="00C85AF5" w:rsidRPr="00C85AF5" w:rsidTr="00631D4F">
        <w:trPr>
          <w:trHeight w:val="483"/>
          <w:jc w:val="center"/>
        </w:trPr>
        <w:tc>
          <w:tcPr>
            <w:tcW w:w="2870" w:type="dxa"/>
            <w:tcBorders>
              <w:top w:val="nil"/>
              <w:left w:val="single" w:sz="4" w:space="0" w:color="auto"/>
              <w:bottom w:val="single" w:sz="4" w:space="0" w:color="auto"/>
              <w:right w:val="single" w:sz="4" w:space="0" w:color="auto"/>
            </w:tcBorders>
            <w:shd w:val="clear" w:color="auto" w:fill="auto"/>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Moderate</w:t>
            </w:r>
          </w:p>
        </w:tc>
        <w:tc>
          <w:tcPr>
            <w:tcW w:w="100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8</w:t>
            </w:r>
          </w:p>
        </w:tc>
        <w:tc>
          <w:tcPr>
            <w:tcW w:w="100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20</w:t>
            </w:r>
          </w:p>
        </w:tc>
        <w:tc>
          <w:tcPr>
            <w:tcW w:w="1005" w:type="dxa"/>
            <w:vMerge w:val="restart"/>
            <w:tcBorders>
              <w:top w:val="nil"/>
              <w:left w:val="single" w:sz="4" w:space="0" w:color="auto"/>
              <w:bottom w:val="single" w:sz="4" w:space="0" w:color="auto"/>
              <w:right w:val="single" w:sz="4" w:space="0" w:color="auto"/>
            </w:tcBorders>
            <w:shd w:val="clear" w:color="auto" w:fill="auto"/>
            <w:noWrap/>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2.80</w:t>
            </w:r>
          </w:p>
        </w:tc>
        <w:tc>
          <w:tcPr>
            <w:tcW w:w="1005" w:type="dxa"/>
            <w:vMerge w:val="restart"/>
            <w:tcBorders>
              <w:top w:val="nil"/>
              <w:left w:val="single" w:sz="4" w:space="0" w:color="auto"/>
              <w:bottom w:val="single" w:sz="4" w:space="0" w:color="auto"/>
              <w:right w:val="single" w:sz="4" w:space="0" w:color="auto"/>
            </w:tcBorders>
            <w:shd w:val="clear" w:color="auto" w:fill="auto"/>
            <w:noWrap/>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1.45</w:t>
            </w:r>
          </w:p>
        </w:tc>
      </w:tr>
      <w:tr w:rsidR="00C85AF5" w:rsidRPr="00C85AF5" w:rsidTr="00631D4F">
        <w:trPr>
          <w:trHeight w:val="555"/>
          <w:jc w:val="center"/>
        </w:trPr>
        <w:tc>
          <w:tcPr>
            <w:tcW w:w="2870" w:type="dxa"/>
            <w:tcBorders>
              <w:top w:val="nil"/>
              <w:left w:val="single" w:sz="4" w:space="0" w:color="auto"/>
              <w:bottom w:val="single" w:sz="4" w:space="0" w:color="auto"/>
              <w:right w:val="single" w:sz="4" w:space="0" w:color="auto"/>
            </w:tcBorders>
            <w:shd w:val="clear" w:color="auto" w:fill="auto"/>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Severe</w:t>
            </w:r>
          </w:p>
        </w:tc>
        <w:tc>
          <w:tcPr>
            <w:tcW w:w="100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32</w:t>
            </w:r>
          </w:p>
        </w:tc>
        <w:tc>
          <w:tcPr>
            <w:tcW w:w="1005"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80</w:t>
            </w:r>
          </w:p>
        </w:tc>
        <w:tc>
          <w:tcPr>
            <w:tcW w:w="1005" w:type="dxa"/>
            <w:vMerge/>
            <w:tcBorders>
              <w:top w:val="nil"/>
              <w:left w:val="single" w:sz="4" w:space="0" w:color="auto"/>
              <w:bottom w:val="single" w:sz="4" w:space="0" w:color="auto"/>
              <w:right w:val="single" w:sz="4" w:space="0" w:color="auto"/>
            </w:tcBorders>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005" w:type="dxa"/>
            <w:vMerge/>
            <w:tcBorders>
              <w:top w:val="nil"/>
              <w:left w:val="single" w:sz="4" w:space="0" w:color="auto"/>
              <w:bottom w:val="single" w:sz="4" w:space="0" w:color="auto"/>
              <w:right w:val="single" w:sz="4" w:space="0" w:color="auto"/>
            </w:tcBorders>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r>
    </w:tbl>
    <w:p w:rsidR="00C85AF5" w:rsidRPr="00C85AF5" w:rsidRDefault="00C85AF5" w:rsidP="00C85AF5">
      <w:pPr>
        <w:spacing w:after="0" w:line="276" w:lineRule="auto"/>
        <w:jc w:val="both"/>
        <w:rPr>
          <w:rFonts w:ascii="Times New Roman" w:eastAsia="Times New Roman" w:hAnsi="Times New Roman" w:cs="Times New Roman"/>
          <w:sz w:val="24"/>
          <w:szCs w:val="24"/>
        </w:rPr>
      </w:pPr>
    </w:p>
    <w:p w:rsidR="00C85AF5" w:rsidRPr="00C85AF5" w:rsidRDefault="00C85AF5" w:rsidP="00C85AF5">
      <w:pPr>
        <w:spacing w:after="0" w:line="276" w:lineRule="auto"/>
        <w:jc w:val="both"/>
        <w:rPr>
          <w:rFonts w:ascii="Times New Roman" w:eastAsia="Calibri" w:hAnsi="Times New Roman" w:cs="Times New Roman"/>
          <w:b/>
          <w:bCs/>
          <w:color w:val="FF0000"/>
          <w:sz w:val="24"/>
          <w:szCs w:val="24"/>
          <w:lang w:bidi="ar-IQ"/>
        </w:rPr>
      </w:pPr>
    </w:p>
    <w:p w:rsidR="00C85AF5" w:rsidRPr="00C85AF5" w:rsidRDefault="00C85AF5" w:rsidP="00C85AF5">
      <w:pPr>
        <w:spacing w:after="0" w:line="276" w:lineRule="auto"/>
        <w:jc w:val="center"/>
        <w:rPr>
          <w:rFonts w:ascii="Times New Roman" w:eastAsia="Calibri" w:hAnsi="Times New Roman" w:cs="Times New Roman"/>
          <w:sz w:val="24"/>
          <w:szCs w:val="24"/>
          <w:lang w:bidi="ar-IQ"/>
        </w:rPr>
      </w:pPr>
      <w:r w:rsidRPr="00C85AF5">
        <w:rPr>
          <w:rFonts w:ascii="Calibri" w:eastAsia="Calibri" w:hAnsi="Calibri" w:cs="Arial"/>
          <w:noProof/>
        </w:rPr>
        <w:drawing>
          <wp:inline distT="0" distB="0" distL="0" distR="0" wp14:anchorId="18545C37" wp14:editId="77626A0B">
            <wp:extent cx="3686175" cy="2090420"/>
            <wp:effectExtent l="0" t="0" r="9525"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5AF5" w:rsidRPr="00C85AF5" w:rsidRDefault="00C85AF5" w:rsidP="00C85AF5">
      <w:pPr>
        <w:spacing w:after="0" w:line="276" w:lineRule="auto"/>
        <w:jc w:val="center"/>
        <w:rPr>
          <w:rFonts w:ascii="Times New Roman" w:eastAsia="Calibri" w:hAnsi="Times New Roman" w:cs="Times New Roman"/>
          <w:sz w:val="24"/>
          <w:szCs w:val="24"/>
          <w:lang w:bidi="ar-IQ"/>
        </w:rPr>
      </w:pP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color w:val="000000"/>
          <w:sz w:val="28"/>
          <w:szCs w:val="28"/>
          <w:lang w:bidi="ar-IQ"/>
        </w:rPr>
      </w:pPr>
      <w:r w:rsidRPr="00C85AF5">
        <w:rPr>
          <w:rFonts w:ascii="Times New Roman" w:eastAsia="Calibri" w:hAnsi="Times New Roman" w:cs="Times New Roman"/>
          <w:color w:val="000000"/>
          <w:sz w:val="28"/>
          <w:szCs w:val="28"/>
          <w:lang w:bidi="ar-IQ"/>
        </w:rPr>
        <w:t>Fig 4.7. Percentage for pre-</w:t>
      </w:r>
      <w:r w:rsidRPr="00C85AF5">
        <w:rPr>
          <w:rFonts w:ascii="Times New Roman" w:eastAsia="Times New Roman" w:hAnsi="Times New Roman" w:cs="Times New Roman"/>
          <w:color w:val="000000"/>
          <w:sz w:val="28"/>
          <w:szCs w:val="28"/>
        </w:rPr>
        <w:t xml:space="preserve"> treatment</w:t>
      </w:r>
      <w:r w:rsidRPr="00C85AF5">
        <w:rPr>
          <w:rFonts w:ascii="Times New Roman" w:eastAsia="Calibri" w:hAnsi="Times New Roman" w:cs="Times New Roman"/>
          <w:color w:val="000000"/>
          <w:sz w:val="28"/>
          <w:szCs w:val="28"/>
          <w:lang w:bidi="ar-IQ"/>
        </w:rPr>
        <w:t xml:space="preserve"> pain score using Bar Chart</w:t>
      </w:r>
    </w:p>
    <w:p w:rsidR="00C85AF5" w:rsidRPr="00C85AF5" w:rsidRDefault="00C85AF5" w:rsidP="00C85AF5">
      <w:pPr>
        <w:spacing w:after="0" w:line="360" w:lineRule="auto"/>
        <w:jc w:val="both"/>
        <w:rPr>
          <w:rFonts w:ascii="Times New Roman" w:eastAsia="Times New Roman" w:hAnsi="Times New Roman" w:cs="Times New Roman"/>
          <w:b/>
          <w:bCs/>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r w:rsidRPr="00C85AF5">
        <w:rPr>
          <w:rFonts w:ascii="Times New Roman" w:eastAsia="Times New Roman" w:hAnsi="Times New Roman" w:cs="Times New Roman"/>
          <w:b/>
          <w:bCs/>
          <w:sz w:val="28"/>
          <w:szCs w:val="28"/>
        </w:rPr>
        <w:t>Table 4.4.</w:t>
      </w:r>
      <w:r w:rsidRPr="00C85AF5">
        <w:rPr>
          <w:rFonts w:ascii="Times New Roman" w:eastAsia="Times New Roman" w:hAnsi="Times New Roman" w:cs="Times New Roman"/>
          <w:sz w:val="28"/>
          <w:szCs w:val="28"/>
        </w:rPr>
        <w:t xml:space="preserve"> the descriptive statistics for post treatment pain scores, most of the patients in this survey have mild pain (55%) in the end of intervention (posttest) followed by moderate (22.5%), severe (15%), and no pain (7.5%) respectively. (Fig 4.8.) Comparing result between pre- treatment in table 4.3. and post treatment in table 4.4. showed that 7.5% of patients do not have any pain more at all, 55% of them have reduced their pain to mild, moderate pain is increased from (20%) in pre- treatment to (22.5%) in post treatment, and severe pain is reduced from (80%) in pre- treatment to (15%) in post treatment. On the other hand, the mean of post pain score (1.45) and it is closer to one, it means, they have mild pain in general.</w:t>
      </w: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Table 4.4</w:t>
      </w:r>
      <w:r w:rsidRPr="00C85AF5">
        <w:rPr>
          <w:rFonts w:ascii="Times New Roman" w:eastAsia="Calibri" w:hAnsi="Times New Roman" w:cs="Times New Roman"/>
          <w:b/>
          <w:bCs/>
          <w:sz w:val="28"/>
          <w:szCs w:val="28"/>
          <w:lang w:bidi="ar-IQ"/>
        </w:rPr>
        <w:t xml:space="preserve"> </w:t>
      </w:r>
      <w:r w:rsidRPr="00C85AF5">
        <w:rPr>
          <w:rFonts w:ascii="Times New Roman" w:eastAsia="Calibri" w:hAnsi="Times New Roman" w:cs="Times New Roman"/>
          <w:sz w:val="28"/>
          <w:szCs w:val="28"/>
          <w:lang w:bidi="ar-IQ"/>
        </w:rPr>
        <w:t xml:space="preserve">Descriptive Statistics for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score</w:t>
      </w:r>
    </w:p>
    <w:p w:rsidR="00C85AF5" w:rsidRPr="00C85AF5" w:rsidRDefault="00C85AF5" w:rsidP="00C85AF5">
      <w:pPr>
        <w:spacing w:after="0" w:line="276" w:lineRule="auto"/>
        <w:jc w:val="both"/>
        <w:rPr>
          <w:rFonts w:ascii="Times New Roman" w:eastAsia="Calibri" w:hAnsi="Times New Roman" w:cs="Times New Roman"/>
          <w:sz w:val="28"/>
          <w:szCs w:val="28"/>
          <w:lang w:bidi="ar-IQ"/>
        </w:rPr>
      </w:pPr>
    </w:p>
    <w:tbl>
      <w:tblPr>
        <w:tblW w:w="6307" w:type="dxa"/>
        <w:jc w:val="center"/>
        <w:tblLook w:val="04A0" w:firstRow="1" w:lastRow="0" w:firstColumn="1" w:lastColumn="0" w:noHBand="0" w:noVBand="1"/>
      </w:tblPr>
      <w:tblGrid>
        <w:gridCol w:w="1763"/>
        <w:gridCol w:w="1082"/>
        <w:gridCol w:w="1082"/>
        <w:gridCol w:w="1257"/>
        <w:gridCol w:w="1123"/>
      </w:tblGrid>
      <w:tr w:rsidR="00C85AF5" w:rsidRPr="00C85AF5" w:rsidTr="00631D4F">
        <w:trPr>
          <w:trHeight w:val="462"/>
          <w:jc w:val="center"/>
        </w:trPr>
        <w:tc>
          <w:tcPr>
            <w:tcW w:w="17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F</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SD</w:t>
            </w:r>
          </w:p>
        </w:tc>
      </w:tr>
      <w:tr w:rsidR="00C85AF5" w:rsidRPr="00C85AF5" w:rsidTr="00631D4F">
        <w:trPr>
          <w:trHeight w:val="462"/>
          <w:jc w:val="center"/>
        </w:trPr>
        <w:tc>
          <w:tcPr>
            <w:tcW w:w="1763" w:type="dxa"/>
            <w:tcBorders>
              <w:top w:val="nil"/>
              <w:left w:val="single" w:sz="4" w:space="0" w:color="auto"/>
              <w:bottom w:val="single" w:sz="4" w:space="0" w:color="auto"/>
              <w:right w:val="single" w:sz="4" w:space="0" w:color="auto"/>
            </w:tcBorders>
            <w:shd w:val="clear" w:color="auto" w:fill="auto"/>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None</w:t>
            </w:r>
          </w:p>
        </w:tc>
        <w:tc>
          <w:tcPr>
            <w:tcW w:w="1082"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w:t>
            </w:r>
          </w:p>
        </w:tc>
        <w:tc>
          <w:tcPr>
            <w:tcW w:w="1082"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7.5</w:t>
            </w:r>
          </w:p>
        </w:tc>
        <w:tc>
          <w:tcPr>
            <w:tcW w:w="1257" w:type="dxa"/>
            <w:vMerge w:val="restart"/>
            <w:tcBorders>
              <w:top w:val="nil"/>
              <w:left w:val="single" w:sz="4" w:space="0" w:color="auto"/>
              <w:bottom w:val="single" w:sz="4" w:space="0" w:color="auto"/>
              <w:right w:val="single" w:sz="4" w:space="0" w:color="auto"/>
            </w:tcBorders>
            <w:shd w:val="clear" w:color="auto" w:fill="auto"/>
            <w:noWrap/>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1.45</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0.85</w:t>
            </w:r>
          </w:p>
        </w:tc>
      </w:tr>
      <w:tr w:rsidR="00C85AF5" w:rsidRPr="00C85AF5" w:rsidTr="00631D4F">
        <w:trPr>
          <w:trHeight w:val="462"/>
          <w:jc w:val="center"/>
        </w:trPr>
        <w:tc>
          <w:tcPr>
            <w:tcW w:w="1763" w:type="dxa"/>
            <w:tcBorders>
              <w:top w:val="nil"/>
              <w:left w:val="single" w:sz="4" w:space="0" w:color="auto"/>
              <w:bottom w:val="single" w:sz="4" w:space="0" w:color="auto"/>
              <w:right w:val="single" w:sz="4" w:space="0" w:color="auto"/>
            </w:tcBorders>
            <w:shd w:val="clear" w:color="auto" w:fill="auto"/>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Mild</w:t>
            </w:r>
          </w:p>
        </w:tc>
        <w:tc>
          <w:tcPr>
            <w:tcW w:w="1082"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22</w:t>
            </w:r>
          </w:p>
        </w:tc>
        <w:tc>
          <w:tcPr>
            <w:tcW w:w="1082"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55</w:t>
            </w:r>
          </w:p>
        </w:tc>
        <w:tc>
          <w:tcPr>
            <w:tcW w:w="1257" w:type="dxa"/>
            <w:vMerge/>
            <w:tcBorders>
              <w:top w:val="nil"/>
              <w:left w:val="single" w:sz="4" w:space="0" w:color="auto"/>
              <w:bottom w:val="single" w:sz="4" w:space="0" w:color="auto"/>
              <w:right w:val="single" w:sz="4" w:space="0" w:color="auto"/>
            </w:tcBorders>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r>
      <w:tr w:rsidR="00C85AF5" w:rsidRPr="00C85AF5" w:rsidTr="00631D4F">
        <w:trPr>
          <w:trHeight w:val="462"/>
          <w:jc w:val="center"/>
        </w:trPr>
        <w:tc>
          <w:tcPr>
            <w:tcW w:w="1763" w:type="dxa"/>
            <w:tcBorders>
              <w:top w:val="nil"/>
              <w:left w:val="single" w:sz="4" w:space="0" w:color="auto"/>
              <w:bottom w:val="single" w:sz="4" w:space="0" w:color="auto"/>
              <w:right w:val="single" w:sz="4" w:space="0" w:color="auto"/>
            </w:tcBorders>
            <w:shd w:val="clear" w:color="auto" w:fill="auto"/>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Moderate</w:t>
            </w:r>
          </w:p>
        </w:tc>
        <w:tc>
          <w:tcPr>
            <w:tcW w:w="1082"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9</w:t>
            </w:r>
          </w:p>
        </w:tc>
        <w:tc>
          <w:tcPr>
            <w:tcW w:w="1082"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22.5</w:t>
            </w:r>
          </w:p>
        </w:tc>
        <w:tc>
          <w:tcPr>
            <w:tcW w:w="1257" w:type="dxa"/>
            <w:vMerge/>
            <w:tcBorders>
              <w:top w:val="nil"/>
              <w:left w:val="single" w:sz="4" w:space="0" w:color="auto"/>
              <w:bottom w:val="single" w:sz="4" w:space="0" w:color="auto"/>
              <w:right w:val="single" w:sz="4" w:space="0" w:color="auto"/>
            </w:tcBorders>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r>
      <w:tr w:rsidR="00C85AF5" w:rsidRPr="00C85AF5" w:rsidTr="00631D4F">
        <w:trPr>
          <w:trHeight w:val="462"/>
          <w:jc w:val="center"/>
        </w:trPr>
        <w:tc>
          <w:tcPr>
            <w:tcW w:w="1763" w:type="dxa"/>
            <w:tcBorders>
              <w:top w:val="nil"/>
              <w:left w:val="single" w:sz="4" w:space="0" w:color="auto"/>
              <w:bottom w:val="single" w:sz="4" w:space="0" w:color="auto"/>
              <w:right w:val="single" w:sz="4" w:space="0" w:color="auto"/>
            </w:tcBorders>
            <w:shd w:val="clear" w:color="auto" w:fill="auto"/>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Severe</w:t>
            </w:r>
          </w:p>
        </w:tc>
        <w:tc>
          <w:tcPr>
            <w:tcW w:w="1082"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6</w:t>
            </w:r>
          </w:p>
        </w:tc>
        <w:tc>
          <w:tcPr>
            <w:tcW w:w="1082"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15</w:t>
            </w:r>
          </w:p>
        </w:tc>
        <w:tc>
          <w:tcPr>
            <w:tcW w:w="1257" w:type="dxa"/>
            <w:vMerge/>
            <w:tcBorders>
              <w:top w:val="nil"/>
              <w:left w:val="single" w:sz="4" w:space="0" w:color="auto"/>
              <w:bottom w:val="single" w:sz="4" w:space="0" w:color="auto"/>
              <w:right w:val="single" w:sz="4" w:space="0" w:color="auto"/>
            </w:tcBorders>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23" w:type="dxa"/>
            <w:vMerge/>
            <w:tcBorders>
              <w:top w:val="nil"/>
              <w:left w:val="single" w:sz="4" w:space="0" w:color="auto"/>
              <w:bottom w:val="single" w:sz="4" w:space="0" w:color="auto"/>
              <w:right w:val="single" w:sz="4" w:space="0" w:color="auto"/>
            </w:tcBorders>
            <w:vAlign w:val="center"/>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r>
    </w:tbl>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4"/>
          <w:szCs w:val="24"/>
          <w:lang w:bidi="ar-IQ"/>
        </w:rPr>
      </w:pP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color w:val="000000"/>
          <w:sz w:val="24"/>
          <w:szCs w:val="24"/>
          <w:lang w:bidi="ar-IQ"/>
        </w:rPr>
      </w:pPr>
      <w:r w:rsidRPr="00C85AF5">
        <w:rPr>
          <w:rFonts w:ascii="Times New Roman" w:eastAsia="Calibri" w:hAnsi="Times New Roman" w:cs="Times New Roman"/>
          <w:noProof/>
          <w:color w:val="000000"/>
          <w:sz w:val="24"/>
          <w:szCs w:val="24"/>
        </w:rPr>
        <w:drawing>
          <wp:inline distT="0" distB="0" distL="0" distR="0" wp14:anchorId="158B0D74" wp14:editId="128FCC85">
            <wp:extent cx="3981450" cy="2438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color w:val="000000"/>
          <w:sz w:val="24"/>
          <w:szCs w:val="24"/>
          <w:lang w:bidi="ar-IQ"/>
        </w:rPr>
      </w:pP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color w:val="000000"/>
          <w:sz w:val="28"/>
          <w:szCs w:val="28"/>
          <w:lang w:bidi="ar-IQ"/>
        </w:rPr>
      </w:pPr>
      <w:r w:rsidRPr="00C85AF5">
        <w:rPr>
          <w:rFonts w:ascii="Times New Roman" w:eastAsia="Calibri" w:hAnsi="Times New Roman" w:cs="Times New Roman"/>
          <w:color w:val="000000"/>
          <w:sz w:val="28"/>
          <w:szCs w:val="28"/>
          <w:lang w:bidi="ar-IQ"/>
        </w:rPr>
        <w:t>Fig 4.8. Percentage for post</w:t>
      </w:r>
      <w:r w:rsidRPr="00C85AF5">
        <w:rPr>
          <w:rFonts w:ascii="Times New Roman" w:eastAsia="Times New Roman" w:hAnsi="Times New Roman" w:cs="Times New Roman"/>
          <w:color w:val="000000"/>
          <w:sz w:val="28"/>
          <w:szCs w:val="28"/>
        </w:rPr>
        <w:t xml:space="preserve"> treatment</w:t>
      </w:r>
      <w:r w:rsidRPr="00C85AF5">
        <w:rPr>
          <w:rFonts w:ascii="Times New Roman" w:eastAsia="Calibri" w:hAnsi="Times New Roman" w:cs="Times New Roman"/>
          <w:color w:val="000000"/>
          <w:sz w:val="28"/>
          <w:szCs w:val="28"/>
          <w:lang w:bidi="ar-IQ"/>
        </w:rPr>
        <w:t xml:space="preserve"> pain score using Bar Chart</w:t>
      </w:r>
    </w:p>
    <w:p w:rsidR="00C85AF5" w:rsidRPr="00C85AF5" w:rsidRDefault="00C85AF5" w:rsidP="00C85AF5">
      <w:pPr>
        <w:spacing w:after="0" w:line="360" w:lineRule="auto"/>
        <w:jc w:val="both"/>
        <w:rPr>
          <w:rFonts w:ascii="Times New Roman" w:eastAsia="Times New Roman" w:hAnsi="Times New Roman" w:cs="Times New Roman"/>
          <w:b/>
          <w:bCs/>
          <w:sz w:val="28"/>
          <w:szCs w:val="28"/>
        </w:rPr>
      </w:pPr>
    </w:p>
    <w:p w:rsidR="00C85AF5" w:rsidRPr="00C85AF5" w:rsidRDefault="00C85AF5" w:rsidP="00C85AF5">
      <w:pPr>
        <w:spacing w:after="0" w:line="360" w:lineRule="auto"/>
        <w:jc w:val="both"/>
        <w:rPr>
          <w:rFonts w:ascii="Times New Roman" w:eastAsia="Times New Roman" w:hAnsi="Times New Roman" w:cs="Times New Roman"/>
          <w:b/>
          <w:bCs/>
          <w:sz w:val="28"/>
          <w:szCs w:val="28"/>
        </w:rPr>
      </w:pPr>
    </w:p>
    <w:p w:rsidR="00C85AF5" w:rsidRPr="00C85AF5" w:rsidRDefault="00C85AF5" w:rsidP="00C85AF5">
      <w:pPr>
        <w:spacing w:after="0" w:line="360" w:lineRule="auto"/>
        <w:jc w:val="both"/>
        <w:rPr>
          <w:rFonts w:ascii="Times New Roman" w:eastAsia="Times New Roman" w:hAnsi="Times New Roman" w:cs="Times New Roman"/>
          <w:b/>
          <w:bCs/>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r w:rsidRPr="00C85AF5">
        <w:rPr>
          <w:rFonts w:ascii="Times New Roman" w:eastAsia="Times New Roman" w:hAnsi="Times New Roman" w:cs="Times New Roman"/>
          <w:b/>
          <w:bCs/>
          <w:sz w:val="28"/>
          <w:szCs w:val="28"/>
        </w:rPr>
        <w:t>Table 4.5.</w:t>
      </w:r>
      <w:r w:rsidRPr="00C85AF5">
        <w:rPr>
          <w:rFonts w:ascii="Times New Roman" w:eastAsia="Times New Roman" w:hAnsi="Times New Roman" w:cs="Times New Roman"/>
          <w:sz w:val="28"/>
          <w:szCs w:val="28"/>
        </w:rPr>
        <w:t xml:space="preserve"> The descriptive statistics between </w:t>
      </w:r>
      <w:r w:rsidRPr="00C85AF5">
        <w:rPr>
          <w:rFonts w:ascii="Times New Roman" w:eastAsia="Calibri" w:hAnsi="Times New Roman" w:cs="Times New Roman"/>
          <w:sz w:val="28"/>
          <w:szCs w:val="28"/>
          <w:lang w:bidi="ar-SY"/>
        </w:rPr>
        <w:t>study and control</w:t>
      </w:r>
      <w:r w:rsidRPr="00C85AF5">
        <w:rPr>
          <w:rFonts w:ascii="Times New Roman" w:eastAsia="Calibri" w:hAnsi="Times New Roman" w:cs="Times New Roman"/>
          <w:sz w:val="28"/>
          <w:szCs w:val="28"/>
          <w:lang w:bidi="ar-IQ"/>
        </w:rPr>
        <w:t xml:space="preserve"> for both pre and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scores</w:t>
      </w:r>
      <w:r w:rsidRPr="00C85AF5">
        <w:rPr>
          <w:rFonts w:ascii="Times New Roman" w:eastAsia="Times New Roman" w:hAnsi="Times New Roman" w:cs="Times New Roman"/>
          <w:sz w:val="28"/>
          <w:szCs w:val="28"/>
        </w:rPr>
        <w:t>. The result shows that (5%) of patients do not have any pain at all in posttest from study group, since (2.5%) have no pain from control group.</w:t>
      </w:r>
    </w:p>
    <w:p w:rsidR="00C85AF5" w:rsidRPr="00C85AF5" w:rsidRDefault="00C85AF5" w:rsidP="00C85AF5">
      <w:pPr>
        <w:spacing w:after="0" w:line="360" w:lineRule="auto"/>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Also, (35%) of patients have mild pain in posttest from study group and (20%) have mild pain from control group which we do not have mild pain from the pretest.</w:t>
      </w:r>
    </w:p>
    <w:p w:rsidR="00C85AF5" w:rsidRPr="00C85AF5" w:rsidRDefault="00C85AF5" w:rsidP="00C85AF5">
      <w:pPr>
        <w:spacing w:after="0" w:line="360" w:lineRule="auto"/>
        <w:jc w:val="both"/>
        <w:rPr>
          <w:rFonts w:ascii="Times New Roman" w:eastAsia="Times New Roman" w:hAnsi="Times New Roman" w:cs="Times New Roman"/>
          <w:sz w:val="28"/>
          <w:szCs w:val="28"/>
        </w:rPr>
      </w:pPr>
      <w:r w:rsidRPr="00C85AF5">
        <w:rPr>
          <w:rFonts w:ascii="Times New Roman" w:eastAsia="Times New Roman" w:hAnsi="Times New Roman" w:cs="Times New Roman"/>
          <w:sz w:val="28"/>
          <w:szCs w:val="28"/>
        </w:rPr>
        <w:t>In addition, in the case study, the percentage for severe pain decreased from pre- treatment (45%) to post treatment (0%) while is less reduced from pre (35%) to post (15%) in the control group. (Fig 4.9.)</w:t>
      </w: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360" w:lineRule="auto"/>
        <w:jc w:val="both"/>
        <w:rPr>
          <w:rFonts w:ascii="Times New Roman" w:eastAsia="Times New Roman" w:hAnsi="Times New Roman" w:cs="Times New Roman"/>
          <w:sz w:val="28"/>
          <w:szCs w:val="28"/>
        </w:rPr>
      </w:pPr>
    </w:p>
    <w:p w:rsidR="00C85AF5" w:rsidRPr="00C85AF5" w:rsidRDefault="00C85AF5" w:rsidP="00C85AF5">
      <w:pPr>
        <w:spacing w:after="0" w:line="276" w:lineRule="auto"/>
        <w:ind w:left="1247" w:right="1474"/>
        <w:jc w:val="center"/>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 xml:space="preserve">Table 4.5. </w:t>
      </w:r>
      <w:r w:rsidRPr="00C85AF5">
        <w:rPr>
          <w:rFonts w:ascii="Times New Roman" w:eastAsia="Calibri" w:hAnsi="Times New Roman" w:cs="Times New Roman"/>
          <w:sz w:val="28"/>
          <w:szCs w:val="28"/>
          <w:lang w:bidi="ar-IQ"/>
        </w:rPr>
        <w:t xml:space="preserve">Descriptive Statistics between two groups and both pre and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scores</w:t>
      </w:r>
    </w:p>
    <w:p w:rsidR="00C85AF5" w:rsidRPr="00C85AF5" w:rsidRDefault="00C85AF5" w:rsidP="00C85AF5">
      <w:pPr>
        <w:spacing w:after="0" w:line="276" w:lineRule="auto"/>
        <w:ind w:left="1247" w:right="1474"/>
        <w:jc w:val="both"/>
        <w:rPr>
          <w:rFonts w:ascii="Times New Roman" w:eastAsia="Calibri" w:hAnsi="Times New Roman" w:cs="Times New Roman"/>
          <w:b/>
          <w:bCs/>
          <w:sz w:val="28"/>
          <w:szCs w:val="28"/>
          <w:lang w:bidi="ar-IQ"/>
        </w:rPr>
      </w:pPr>
    </w:p>
    <w:tbl>
      <w:tblPr>
        <w:tblW w:w="6235" w:type="dxa"/>
        <w:jc w:val="center"/>
        <w:tblLook w:val="04A0" w:firstRow="1" w:lastRow="0" w:firstColumn="1" w:lastColumn="0" w:noHBand="0" w:noVBand="1"/>
      </w:tblPr>
      <w:tblGrid>
        <w:gridCol w:w="1668"/>
        <w:gridCol w:w="1390"/>
        <w:gridCol w:w="593"/>
        <w:gridCol w:w="988"/>
        <w:gridCol w:w="7"/>
        <w:gridCol w:w="586"/>
        <w:gridCol w:w="988"/>
        <w:gridCol w:w="15"/>
      </w:tblGrid>
      <w:tr w:rsidR="00C85AF5" w:rsidRPr="00C85AF5" w:rsidTr="00631D4F">
        <w:trPr>
          <w:trHeight w:val="361"/>
          <w:jc w:val="center"/>
        </w:trPr>
        <w:tc>
          <w:tcPr>
            <w:tcW w:w="30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3177" w:type="dxa"/>
            <w:gridSpan w:val="6"/>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Group</w:t>
            </w:r>
          </w:p>
        </w:tc>
      </w:tr>
      <w:tr w:rsidR="00C85AF5" w:rsidRPr="00C85AF5" w:rsidTr="00631D4F">
        <w:trPr>
          <w:trHeight w:val="361"/>
          <w:jc w:val="center"/>
        </w:trPr>
        <w:tc>
          <w:tcPr>
            <w:tcW w:w="3058" w:type="dxa"/>
            <w:gridSpan w:val="2"/>
            <w:vMerge/>
            <w:tcBorders>
              <w:top w:val="single" w:sz="4" w:space="0" w:color="auto"/>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588" w:type="dxa"/>
            <w:gridSpan w:val="3"/>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Study</w:t>
            </w:r>
          </w:p>
        </w:tc>
        <w:tc>
          <w:tcPr>
            <w:tcW w:w="1588" w:type="dxa"/>
            <w:gridSpan w:val="3"/>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Control</w:t>
            </w:r>
          </w:p>
        </w:tc>
      </w:tr>
      <w:tr w:rsidR="00C85AF5" w:rsidRPr="00C85AF5" w:rsidTr="00631D4F">
        <w:trPr>
          <w:gridAfter w:val="1"/>
          <w:wAfter w:w="15" w:type="dxa"/>
          <w:trHeight w:val="361"/>
          <w:jc w:val="center"/>
        </w:trPr>
        <w:tc>
          <w:tcPr>
            <w:tcW w:w="3058" w:type="dxa"/>
            <w:gridSpan w:val="2"/>
            <w:vMerge/>
            <w:tcBorders>
              <w:top w:val="single" w:sz="4" w:space="0" w:color="auto"/>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593"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N</w:t>
            </w:r>
          </w:p>
        </w:tc>
        <w:tc>
          <w:tcPr>
            <w:tcW w:w="988"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t>
            </w:r>
          </w:p>
        </w:tc>
        <w:tc>
          <w:tcPr>
            <w:tcW w:w="593" w:type="dxa"/>
            <w:gridSpan w:val="2"/>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N</w:t>
            </w:r>
          </w:p>
        </w:tc>
        <w:tc>
          <w:tcPr>
            <w:tcW w:w="988"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t>
            </w:r>
          </w:p>
        </w:tc>
      </w:tr>
      <w:tr w:rsidR="00C85AF5" w:rsidRPr="00C85AF5" w:rsidTr="00631D4F">
        <w:trPr>
          <w:gridAfter w:val="1"/>
          <w:wAfter w:w="15" w:type="dxa"/>
          <w:trHeight w:val="361"/>
          <w:jc w:val="center"/>
        </w:trPr>
        <w:tc>
          <w:tcPr>
            <w:tcW w:w="1668"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 pain score</w:t>
            </w:r>
          </w:p>
        </w:tc>
        <w:tc>
          <w:tcPr>
            <w:tcW w:w="139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Moderate</w:t>
            </w:r>
          </w:p>
        </w:tc>
        <w:tc>
          <w:tcPr>
            <w:tcW w:w="59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w:t>
            </w:r>
          </w:p>
        </w:tc>
        <w:tc>
          <w:tcPr>
            <w:tcW w:w="593" w:type="dxa"/>
            <w:gridSpan w:val="2"/>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6</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15%</w:t>
            </w:r>
          </w:p>
        </w:tc>
      </w:tr>
      <w:tr w:rsidR="00C85AF5" w:rsidRPr="00C85AF5" w:rsidTr="00631D4F">
        <w:trPr>
          <w:gridAfter w:val="1"/>
          <w:wAfter w:w="15" w:type="dxa"/>
          <w:trHeight w:val="361"/>
          <w:jc w:val="center"/>
        </w:trPr>
        <w:tc>
          <w:tcPr>
            <w:tcW w:w="16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39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Severe</w:t>
            </w:r>
          </w:p>
        </w:tc>
        <w:tc>
          <w:tcPr>
            <w:tcW w:w="59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45%</w:t>
            </w:r>
          </w:p>
        </w:tc>
        <w:tc>
          <w:tcPr>
            <w:tcW w:w="593" w:type="dxa"/>
            <w:gridSpan w:val="2"/>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14</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35%</w:t>
            </w:r>
          </w:p>
        </w:tc>
      </w:tr>
      <w:tr w:rsidR="00C85AF5" w:rsidRPr="00C85AF5" w:rsidTr="00631D4F">
        <w:trPr>
          <w:gridAfter w:val="1"/>
          <w:wAfter w:w="15" w:type="dxa"/>
          <w:trHeight w:val="361"/>
          <w:jc w:val="center"/>
        </w:trPr>
        <w:tc>
          <w:tcPr>
            <w:tcW w:w="1668"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 pain score</w:t>
            </w:r>
          </w:p>
        </w:tc>
        <w:tc>
          <w:tcPr>
            <w:tcW w:w="139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None</w:t>
            </w:r>
          </w:p>
        </w:tc>
        <w:tc>
          <w:tcPr>
            <w:tcW w:w="59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b/>
                <w:bCs/>
                <w:color w:val="000000"/>
                <w:sz w:val="24"/>
                <w:szCs w:val="24"/>
              </w:rPr>
            </w:pPr>
            <w:r w:rsidRPr="00C85AF5">
              <w:rPr>
                <w:rFonts w:ascii="Times New Roman" w:eastAsia="Times New Roman" w:hAnsi="Times New Roman" w:cs="Times New Roman"/>
                <w:b/>
                <w:bCs/>
                <w:color w:val="000000"/>
                <w:sz w:val="24"/>
                <w:szCs w:val="24"/>
              </w:rPr>
              <w:t>5%</w:t>
            </w:r>
          </w:p>
        </w:tc>
        <w:tc>
          <w:tcPr>
            <w:tcW w:w="593" w:type="dxa"/>
            <w:gridSpan w:val="2"/>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2.5%</w:t>
            </w:r>
          </w:p>
        </w:tc>
      </w:tr>
      <w:tr w:rsidR="00C85AF5" w:rsidRPr="00C85AF5" w:rsidTr="00631D4F">
        <w:trPr>
          <w:gridAfter w:val="1"/>
          <w:wAfter w:w="15" w:type="dxa"/>
          <w:trHeight w:val="361"/>
          <w:jc w:val="center"/>
        </w:trPr>
        <w:tc>
          <w:tcPr>
            <w:tcW w:w="16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39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Mild</w:t>
            </w:r>
          </w:p>
        </w:tc>
        <w:tc>
          <w:tcPr>
            <w:tcW w:w="59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14</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35%</w:t>
            </w:r>
          </w:p>
        </w:tc>
        <w:tc>
          <w:tcPr>
            <w:tcW w:w="593" w:type="dxa"/>
            <w:gridSpan w:val="2"/>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8</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20%</w:t>
            </w:r>
          </w:p>
        </w:tc>
      </w:tr>
      <w:tr w:rsidR="00C85AF5" w:rsidRPr="00C85AF5" w:rsidTr="00631D4F">
        <w:trPr>
          <w:gridAfter w:val="1"/>
          <w:wAfter w:w="15" w:type="dxa"/>
          <w:trHeight w:val="361"/>
          <w:jc w:val="center"/>
        </w:trPr>
        <w:tc>
          <w:tcPr>
            <w:tcW w:w="16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39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Moderate</w:t>
            </w:r>
          </w:p>
        </w:tc>
        <w:tc>
          <w:tcPr>
            <w:tcW w:w="59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4</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w:t>
            </w:r>
          </w:p>
        </w:tc>
        <w:tc>
          <w:tcPr>
            <w:tcW w:w="593" w:type="dxa"/>
            <w:gridSpan w:val="2"/>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5</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12.5%</w:t>
            </w:r>
          </w:p>
        </w:tc>
      </w:tr>
      <w:tr w:rsidR="00C85AF5" w:rsidRPr="00C85AF5" w:rsidTr="00631D4F">
        <w:trPr>
          <w:gridAfter w:val="1"/>
          <w:wAfter w:w="15" w:type="dxa"/>
          <w:trHeight w:val="361"/>
          <w:jc w:val="center"/>
        </w:trPr>
        <w:tc>
          <w:tcPr>
            <w:tcW w:w="16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39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Severe</w:t>
            </w:r>
          </w:p>
        </w:tc>
        <w:tc>
          <w:tcPr>
            <w:tcW w:w="59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w:t>
            </w:r>
          </w:p>
        </w:tc>
        <w:tc>
          <w:tcPr>
            <w:tcW w:w="593" w:type="dxa"/>
            <w:gridSpan w:val="2"/>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6</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15%</w:t>
            </w:r>
          </w:p>
        </w:tc>
      </w:tr>
    </w:tbl>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4"/>
          <w:szCs w:val="24"/>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color w:val="000000"/>
          <w:sz w:val="24"/>
          <w:szCs w:val="24"/>
          <w:lang w:bidi="ar-IQ"/>
        </w:rPr>
      </w:pPr>
      <w:r w:rsidRPr="00C85AF5">
        <w:rPr>
          <w:rFonts w:ascii="Times New Roman" w:eastAsia="Calibri" w:hAnsi="Times New Roman" w:cs="Times New Roman"/>
          <w:noProof/>
          <w:color w:val="000000"/>
          <w:sz w:val="24"/>
          <w:szCs w:val="24"/>
        </w:rPr>
        <w:drawing>
          <wp:inline distT="0" distB="0" distL="0" distR="0" wp14:anchorId="31A5D8B1" wp14:editId="4276D7FD">
            <wp:extent cx="5153025" cy="27336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color w:val="000000"/>
          <w:sz w:val="24"/>
          <w:szCs w:val="24"/>
          <w:lang w:bidi="ar-IQ"/>
        </w:rPr>
      </w:pP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color w:val="000000"/>
          <w:sz w:val="28"/>
          <w:szCs w:val="28"/>
          <w:lang w:bidi="ar-IQ"/>
        </w:rPr>
      </w:pPr>
      <w:r w:rsidRPr="00C85AF5">
        <w:rPr>
          <w:rFonts w:ascii="Times New Roman" w:eastAsia="Calibri" w:hAnsi="Times New Roman" w:cs="Times New Roman"/>
          <w:color w:val="000000"/>
          <w:sz w:val="28"/>
          <w:szCs w:val="28"/>
          <w:lang w:bidi="ar-IQ"/>
        </w:rPr>
        <w:t xml:space="preserve">Fig 4.9. Association between two groups and both </w:t>
      </w: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color w:val="000000"/>
          <w:sz w:val="28"/>
          <w:szCs w:val="28"/>
          <w:lang w:bidi="ar-IQ"/>
        </w:rPr>
        <w:t xml:space="preserve">pre and post </w:t>
      </w:r>
      <w:r w:rsidRPr="00C85AF5">
        <w:rPr>
          <w:rFonts w:ascii="Times New Roman" w:eastAsia="Times New Roman" w:hAnsi="Times New Roman" w:cs="Times New Roman"/>
          <w:color w:val="000000"/>
          <w:sz w:val="28"/>
          <w:szCs w:val="28"/>
        </w:rPr>
        <w:t>treatment</w:t>
      </w:r>
      <w:r w:rsidRPr="00C85AF5">
        <w:rPr>
          <w:rFonts w:ascii="Times New Roman" w:eastAsia="Calibri" w:hAnsi="Times New Roman" w:cs="Times New Roman"/>
          <w:color w:val="000000"/>
          <w:sz w:val="28"/>
          <w:szCs w:val="28"/>
          <w:lang w:bidi="ar-IQ"/>
        </w:rPr>
        <w:t xml:space="preserve"> pain scores using Bar Chart</w:t>
      </w: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p>
    <w:p w:rsidR="00C85AF5" w:rsidRPr="00C85AF5" w:rsidRDefault="00C85AF5" w:rsidP="00C85AF5">
      <w:pPr>
        <w:bidi/>
        <w:spacing w:after="200" w:line="276" w:lineRule="auto"/>
        <w:jc w:val="right"/>
        <w:rPr>
          <w:rFonts w:ascii="Times New Roman" w:eastAsia="Calibri" w:hAnsi="Times New Roman" w:cs="Times New Roman"/>
          <w:b/>
          <w:bCs/>
          <w:sz w:val="28"/>
          <w:szCs w:val="28"/>
        </w:rPr>
      </w:pPr>
      <w:r w:rsidRPr="00C85AF5">
        <w:rPr>
          <w:rFonts w:ascii="Times New Roman" w:eastAsia="Calibri" w:hAnsi="Times New Roman" w:cs="Times New Roman"/>
          <w:b/>
          <w:bCs/>
          <w:sz w:val="28"/>
          <w:szCs w:val="28"/>
        </w:rPr>
        <w:t xml:space="preserve">4.4. Paired Sample T Test. </w:t>
      </w: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r w:rsidRPr="00C85AF5">
        <w:rPr>
          <w:rFonts w:ascii="Times New Roman" w:eastAsia="Calibri" w:hAnsi="Times New Roman" w:cs="Times New Roman"/>
          <w:color w:val="000000"/>
          <w:sz w:val="28"/>
          <w:szCs w:val="28"/>
          <w:lang w:bidi="ar-IQ"/>
        </w:rPr>
        <w:t xml:space="preserve">Paired sample t test compares the mean between two related (paired, repeated or matched) variables </w:t>
      </w:r>
      <w:r w:rsidRPr="00C85AF5">
        <w:rPr>
          <w:rFonts w:ascii="Times New Roman" w:eastAsia="Calibri" w:hAnsi="Times New Roman" w:cs="Times New Roman"/>
          <w:color w:val="000000"/>
          <w:sz w:val="28"/>
          <w:szCs w:val="28"/>
          <w:lang w:bidi="ar-IQ"/>
        </w:rPr>
        <w:fldChar w:fldCharType="begin">
          <w:fldData xml:space="preserve">PEVuZE5vdGU+PENpdGU+PEF1dGhvcj5CbGJhczwvQXV0aG9yPjxZZWFyPjIwMjI8L1llYXI+PFJl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</w:fldData>
        </w:fldChar>
      </w:r>
      <w:r w:rsidRPr="00C85AF5">
        <w:rPr>
          <w:rFonts w:ascii="Times New Roman" w:eastAsia="Calibri" w:hAnsi="Times New Roman" w:cs="Times New Roman"/>
          <w:color w:val="000000"/>
          <w:sz w:val="28"/>
          <w:szCs w:val="28"/>
          <w:lang w:bidi="ar-IQ"/>
        </w:rPr>
        <w:instrText xml:space="preserve"> ADDIN EN.CITE </w:instrText>
      </w:r>
      <w:r w:rsidRPr="00C85AF5">
        <w:rPr>
          <w:rFonts w:ascii="Times New Roman" w:eastAsia="Calibri" w:hAnsi="Times New Roman" w:cs="Times New Roman"/>
          <w:color w:val="000000"/>
          <w:sz w:val="28"/>
          <w:szCs w:val="28"/>
          <w:lang w:bidi="ar-IQ"/>
        </w:rPr>
        <w:fldChar w:fldCharType="begin">
          <w:fldData xml:space="preserve">PEVuZE5vdGU+PENpdGU+PEF1dGhvcj5CbGJhczwvQXV0aG9yPjxZZWFyPjIwMjI8L1llYXI+PFJl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</w:fldData>
        </w:fldChar>
      </w:r>
      <w:r w:rsidRPr="00C85AF5">
        <w:rPr>
          <w:rFonts w:ascii="Times New Roman" w:eastAsia="Calibri" w:hAnsi="Times New Roman" w:cs="Times New Roman"/>
          <w:color w:val="000000"/>
          <w:sz w:val="28"/>
          <w:szCs w:val="28"/>
          <w:lang w:bidi="ar-IQ"/>
        </w:rPr>
        <w:instrText xml:space="preserve"> ADDIN EN.CITE.DATA </w:instrText>
      </w:r>
      <w:r w:rsidRPr="00C85AF5">
        <w:rPr>
          <w:rFonts w:ascii="Times New Roman" w:eastAsia="Calibri" w:hAnsi="Times New Roman" w:cs="Times New Roman"/>
          <w:color w:val="000000"/>
          <w:sz w:val="28"/>
          <w:szCs w:val="28"/>
          <w:lang w:bidi="ar-IQ"/>
        </w:rPr>
      </w:r>
      <w:r w:rsidRPr="00C85AF5">
        <w:rPr>
          <w:rFonts w:ascii="Times New Roman" w:eastAsia="Calibri" w:hAnsi="Times New Roman" w:cs="Times New Roman"/>
          <w:color w:val="000000"/>
          <w:sz w:val="28"/>
          <w:szCs w:val="28"/>
          <w:lang w:bidi="ar-IQ"/>
        </w:rPr>
        <w:fldChar w:fldCharType="end"/>
      </w:r>
      <w:r w:rsidRPr="00C85AF5">
        <w:rPr>
          <w:rFonts w:ascii="Times New Roman" w:eastAsia="Calibri" w:hAnsi="Times New Roman" w:cs="Times New Roman"/>
          <w:color w:val="000000"/>
          <w:sz w:val="28"/>
          <w:szCs w:val="28"/>
          <w:lang w:bidi="ar-IQ"/>
        </w:rPr>
      </w:r>
      <w:r w:rsidRPr="00C85AF5">
        <w:rPr>
          <w:rFonts w:ascii="Times New Roman" w:eastAsia="Calibri" w:hAnsi="Times New Roman" w:cs="Times New Roman"/>
          <w:color w:val="000000"/>
          <w:sz w:val="28"/>
          <w:szCs w:val="28"/>
          <w:lang w:bidi="ar-IQ"/>
        </w:rPr>
        <w:fldChar w:fldCharType="separate"/>
      </w:r>
      <w:r w:rsidRPr="00C85AF5">
        <w:rPr>
          <w:rFonts w:ascii="Times New Roman" w:eastAsia="Calibri" w:hAnsi="Times New Roman" w:cs="Times New Roman"/>
          <w:noProof/>
          <w:color w:val="000000"/>
          <w:sz w:val="28"/>
          <w:szCs w:val="28"/>
          <w:lang w:bidi="ar-IQ"/>
        </w:rPr>
        <w:t>(Blbas et al., 2022)</w:t>
      </w:r>
      <w:r w:rsidRPr="00C85AF5">
        <w:rPr>
          <w:rFonts w:ascii="Times New Roman" w:eastAsia="Calibri" w:hAnsi="Times New Roman" w:cs="Times New Roman"/>
          <w:color w:val="000000"/>
          <w:sz w:val="28"/>
          <w:szCs w:val="28"/>
          <w:lang w:bidi="ar-IQ"/>
        </w:rPr>
        <w:fldChar w:fldCharType="end"/>
      </w:r>
      <w:r w:rsidRPr="00C85AF5">
        <w:rPr>
          <w:rFonts w:ascii="Times New Roman" w:eastAsia="Times New Roman" w:hAnsi="Times New Roman" w:cs="Times New Roman"/>
          <w:color w:val="000000"/>
          <w:sz w:val="28"/>
          <w:szCs w:val="28"/>
        </w:rPr>
        <w:t>.</w:t>
      </w: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color w:val="000000"/>
          <w:sz w:val="28"/>
          <w:szCs w:val="28"/>
          <w:lang w:bidi="ar-IQ"/>
        </w:rPr>
      </w:pPr>
      <w:r w:rsidRPr="00C85AF5">
        <w:rPr>
          <w:rFonts w:ascii="Times New Roman" w:eastAsia="Calibri" w:hAnsi="Times New Roman" w:cs="Times New Roman"/>
          <w:color w:val="000000"/>
          <w:sz w:val="28"/>
          <w:szCs w:val="28"/>
          <w:lang w:bidi="ar-IQ"/>
        </w:rPr>
        <w:t xml:space="preserve">Paired sample t-test were used to analyze the relationship between pre and post </w:t>
      </w:r>
      <w:r w:rsidRPr="00C85AF5">
        <w:rPr>
          <w:rFonts w:ascii="Times New Roman" w:eastAsia="Times New Roman" w:hAnsi="Times New Roman" w:cs="Times New Roman"/>
          <w:color w:val="000000"/>
          <w:sz w:val="28"/>
          <w:szCs w:val="28"/>
        </w:rPr>
        <w:t>treatment</w:t>
      </w:r>
      <w:r w:rsidRPr="00C85AF5">
        <w:rPr>
          <w:rFonts w:ascii="Times New Roman" w:eastAsia="Calibri" w:hAnsi="Times New Roman" w:cs="Times New Roman"/>
          <w:color w:val="000000"/>
          <w:sz w:val="28"/>
          <w:szCs w:val="28"/>
          <w:lang w:bidi="ar-IQ"/>
        </w:rPr>
        <w:t xml:space="preserve"> pain scores with each of the (Walking, Stair Climbing, Nocturnal, Rest, and Weight Bearing).</w:t>
      </w:r>
    </w:p>
    <w:p w:rsidR="00C85AF5" w:rsidRPr="00C85AF5" w:rsidRDefault="00C85AF5" w:rsidP="00C85AF5">
      <w:pPr>
        <w:spacing w:after="200" w:line="360" w:lineRule="auto"/>
        <w:jc w:val="both"/>
        <w:rPr>
          <w:rFonts w:ascii="Times New Roman" w:eastAsia="Calibri" w:hAnsi="Times New Roman" w:cs="Times New Roman"/>
          <w:b/>
          <w:bCs/>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Table 4.6.</w:t>
      </w:r>
      <w:r w:rsidRPr="00C85AF5">
        <w:rPr>
          <w:rFonts w:ascii="Times New Roman" w:eastAsia="Calibri" w:hAnsi="Times New Roman" w:cs="Times New Roman"/>
          <w:sz w:val="28"/>
          <w:szCs w:val="28"/>
          <w:lang w:bidi="ar-IQ"/>
        </w:rPr>
        <w:t xml:space="preserve"> there is a statistical significant difference between the mean pre and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scores with each of the (Walking, Stair Climbing, Nocturnal, Rest, and Weight Bearing) individually from study group because their p-values are less than the significant level of α=0.05. In addition, the average of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for each of them is lower than the average for pre-</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it means, the pain of patients are decreased in the end of biomechanical intervention. </w:t>
      </w: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 xml:space="preserve">Walking pain is much effective rather than other to reduce patients pain in case study because it has the highest value of mean difference (2.05) followed by Stair Climbing (1.95), Weight Bearing (1.85), Nocturnal (1.6), and Rest (1.35) respectively. </w:t>
      </w: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bidi/>
        <w:spacing w:after="0" w:line="240" w:lineRule="auto"/>
        <w:ind w:right="567"/>
        <w:jc w:val="center"/>
        <w:rPr>
          <w:rFonts w:ascii="Times New Roman" w:eastAsia="Calibri" w:hAnsi="Times New Roman" w:cs="Times New Roman"/>
          <w:sz w:val="28"/>
          <w:szCs w:val="28"/>
        </w:rPr>
      </w:pPr>
      <w:r w:rsidRPr="00C85AF5">
        <w:rPr>
          <w:rFonts w:ascii="Times New Roman" w:eastAsia="Calibri" w:hAnsi="Times New Roman" w:cs="Times New Roman"/>
          <w:b/>
          <w:bCs/>
          <w:sz w:val="24"/>
          <w:szCs w:val="24"/>
        </w:rPr>
        <w:lastRenderedPageBreak/>
        <w:t>Table 4.6</w:t>
      </w:r>
      <w:r w:rsidRPr="00C85AF5">
        <w:rPr>
          <w:rFonts w:ascii="Times New Roman" w:eastAsia="Calibri" w:hAnsi="Times New Roman" w:cs="Times New Roman"/>
          <w:b/>
          <w:bCs/>
          <w:sz w:val="28"/>
          <w:szCs w:val="28"/>
        </w:rPr>
        <w:t xml:space="preserve">. </w:t>
      </w:r>
      <w:r w:rsidRPr="00C85AF5">
        <w:rPr>
          <w:rFonts w:ascii="Times New Roman" w:eastAsia="Calibri" w:hAnsi="Times New Roman" w:cs="Times New Roman"/>
          <w:sz w:val="28"/>
          <w:szCs w:val="28"/>
        </w:rPr>
        <w:t>Paired Sample T Test between the mean of pre and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rPr>
        <w:t xml:space="preserve"> pain score with each of the (Walking, Stair Climbing, Nocturnal, Rest, and Weight Bearing) from study group</w:t>
      </w:r>
    </w:p>
    <w:p w:rsidR="00C85AF5" w:rsidRPr="00C85AF5" w:rsidRDefault="00C85AF5" w:rsidP="00C85AF5">
      <w:pPr>
        <w:bidi/>
        <w:spacing w:after="0" w:line="240" w:lineRule="auto"/>
        <w:ind w:right="510"/>
        <w:jc w:val="center"/>
        <w:rPr>
          <w:rFonts w:ascii="Times New Roman" w:eastAsia="Calibri" w:hAnsi="Times New Roman" w:cs="Times New Roman"/>
          <w:b/>
          <w:bCs/>
          <w:sz w:val="24"/>
          <w:szCs w:val="24"/>
        </w:rPr>
      </w:pPr>
    </w:p>
    <w:tbl>
      <w:tblPr>
        <w:tblW w:w="7985" w:type="dxa"/>
        <w:jc w:val="center"/>
        <w:tblLook w:val="04A0" w:firstRow="1" w:lastRow="0" w:firstColumn="1" w:lastColumn="0" w:noHBand="0" w:noVBand="1"/>
      </w:tblPr>
      <w:tblGrid>
        <w:gridCol w:w="2139"/>
        <w:gridCol w:w="737"/>
        <w:gridCol w:w="953"/>
        <w:gridCol w:w="1315"/>
        <w:gridCol w:w="1231"/>
        <w:gridCol w:w="805"/>
        <w:gridCol w:w="805"/>
      </w:tblGrid>
      <w:tr w:rsidR="00C85AF5" w:rsidRPr="00C85AF5" w:rsidTr="00631D4F">
        <w:trPr>
          <w:trHeight w:val="547"/>
          <w:jc w:val="center"/>
        </w:trPr>
        <w:tc>
          <w:tcPr>
            <w:tcW w:w="28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 Difference</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Std. Deviation</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t</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p-value</w:t>
            </w:r>
          </w:p>
        </w:tc>
      </w:tr>
      <w:tr w:rsidR="00C85AF5" w:rsidRPr="00C85AF5" w:rsidTr="00631D4F">
        <w:trPr>
          <w:trHeight w:val="411"/>
          <w:jc w:val="center"/>
        </w:trPr>
        <w:tc>
          <w:tcPr>
            <w:tcW w:w="2139"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Walking</w:t>
            </w: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2.7500</w:t>
            </w:r>
          </w:p>
        </w:tc>
        <w:tc>
          <w:tcPr>
            <w:tcW w:w="13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2.0500</w:t>
            </w: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0.5501</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12.08</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411"/>
          <w:jc w:val="center"/>
        </w:trPr>
        <w:tc>
          <w:tcPr>
            <w:tcW w:w="2139"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0.7000</w:t>
            </w:r>
          </w:p>
        </w:tc>
        <w:tc>
          <w:tcPr>
            <w:tcW w:w="131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0.5712</w:t>
            </w: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411"/>
          <w:jc w:val="center"/>
        </w:trPr>
        <w:tc>
          <w:tcPr>
            <w:tcW w:w="2139"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Stair Climbing</w:t>
            </w: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3.2500</w:t>
            </w:r>
          </w:p>
        </w:tc>
        <w:tc>
          <w:tcPr>
            <w:tcW w:w="13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1.9500</w:t>
            </w: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0.8507</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10.57</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411"/>
          <w:jc w:val="center"/>
        </w:trPr>
        <w:tc>
          <w:tcPr>
            <w:tcW w:w="2139"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1.3000</w:t>
            </w:r>
          </w:p>
        </w:tc>
        <w:tc>
          <w:tcPr>
            <w:tcW w:w="131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0.8013</w:t>
            </w: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411"/>
          <w:jc w:val="center"/>
        </w:trPr>
        <w:tc>
          <w:tcPr>
            <w:tcW w:w="2139"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Nocturnal</w:t>
            </w: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2.1000</w:t>
            </w:r>
          </w:p>
        </w:tc>
        <w:tc>
          <w:tcPr>
            <w:tcW w:w="13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1.6000</w:t>
            </w: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1.0208</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7.139</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411"/>
          <w:jc w:val="center"/>
        </w:trPr>
        <w:tc>
          <w:tcPr>
            <w:tcW w:w="2139"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0.5000</w:t>
            </w:r>
          </w:p>
        </w:tc>
        <w:tc>
          <w:tcPr>
            <w:tcW w:w="131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0.6882</w:t>
            </w: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411"/>
          <w:jc w:val="center"/>
        </w:trPr>
        <w:tc>
          <w:tcPr>
            <w:tcW w:w="2139"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Rest</w:t>
            </w: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1.6500</w:t>
            </w:r>
          </w:p>
        </w:tc>
        <w:tc>
          <w:tcPr>
            <w:tcW w:w="13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1.3500</w:t>
            </w: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1.0400</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6.463</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411"/>
          <w:jc w:val="center"/>
        </w:trPr>
        <w:tc>
          <w:tcPr>
            <w:tcW w:w="2139"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0.3000</w:t>
            </w:r>
          </w:p>
        </w:tc>
        <w:tc>
          <w:tcPr>
            <w:tcW w:w="131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0.6569</w:t>
            </w: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411"/>
          <w:jc w:val="center"/>
        </w:trPr>
        <w:tc>
          <w:tcPr>
            <w:tcW w:w="2139"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Weight Bearing</w:t>
            </w: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2.6500</w:t>
            </w:r>
          </w:p>
        </w:tc>
        <w:tc>
          <w:tcPr>
            <w:tcW w:w="13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1.8500</w:t>
            </w: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0.9881</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8.865</w:t>
            </w:r>
          </w:p>
        </w:tc>
        <w:tc>
          <w:tcPr>
            <w:tcW w:w="8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411"/>
          <w:jc w:val="center"/>
        </w:trPr>
        <w:tc>
          <w:tcPr>
            <w:tcW w:w="2139"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36"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5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0.8000</w:t>
            </w:r>
          </w:p>
        </w:tc>
        <w:tc>
          <w:tcPr>
            <w:tcW w:w="131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231"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0.6156</w:t>
            </w: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805"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bl>
    <w:p w:rsidR="00C85AF5" w:rsidRPr="00C85AF5" w:rsidRDefault="00C85AF5" w:rsidP="00C85AF5">
      <w:pPr>
        <w:spacing w:after="200" w:line="360" w:lineRule="auto"/>
        <w:jc w:val="both"/>
        <w:rPr>
          <w:rFonts w:ascii="Times New Roman" w:eastAsia="Calibri" w:hAnsi="Times New Roman" w:cs="Times New Roman"/>
          <w:b/>
          <w:bCs/>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b/>
          <w:bCs/>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Table 4.7.</w:t>
      </w:r>
      <w:r w:rsidRPr="00C85AF5">
        <w:rPr>
          <w:rFonts w:ascii="Times New Roman" w:eastAsia="Calibri" w:hAnsi="Times New Roman" w:cs="Times New Roman"/>
          <w:sz w:val="28"/>
          <w:szCs w:val="28"/>
          <w:lang w:bidi="ar-IQ"/>
        </w:rPr>
        <w:t xml:space="preserve"> there is a statistical significant difference between the mean pre and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scores with each of the (Walking, Stair Climbing, Nocturnal, Rest, and Weight Bearing) individually from control group because their p-values are less than the significant level of α=0.05. In addition, the average of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for each of them is less lower than the average for pre-</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compared to study group, it means, the pain of patients are decreased in the end of duration. </w:t>
      </w: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Times New Roman" w:hAnsi="Times New Roman" w:cs="Times New Roman"/>
          <w:color w:val="000000"/>
          <w:sz w:val="28"/>
          <w:szCs w:val="28"/>
        </w:rPr>
        <w:t>Weight Bearing</w:t>
      </w:r>
      <w:r w:rsidRPr="00C85AF5">
        <w:rPr>
          <w:rFonts w:ascii="Times New Roman" w:eastAsia="Calibri" w:hAnsi="Times New Roman" w:cs="Times New Roman"/>
          <w:sz w:val="28"/>
          <w:szCs w:val="28"/>
          <w:lang w:bidi="ar-IQ"/>
        </w:rPr>
        <w:t xml:space="preserve"> pain is much effective rather than other to reduce patients pain in control group because it has the highest value of mean difference (1.10) followed by walking (0.850), </w:t>
      </w:r>
      <w:r w:rsidRPr="00C85AF5">
        <w:rPr>
          <w:rFonts w:ascii="Times New Roman" w:eastAsia="Times New Roman" w:hAnsi="Times New Roman" w:cs="Times New Roman"/>
          <w:color w:val="000000"/>
          <w:sz w:val="28"/>
          <w:szCs w:val="28"/>
        </w:rPr>
        <w:t>Stair Climbing</w:t>
      </w:r>
      <w:r w:rsidRPr="00C85AF5">
        <w:rPr>
          <w:rFonts w:ascii="Times New Roman" w:eastAsia="Calibri" w:hAnsi="Times New Roman" w:cs="Times New Roman"/>
          <w:sz w:val="28"/>
          <w:szCs w:val="28"/>
          <w:lang w:bidi="ar-IQ"/>
        </w:rPr>
        <w:t xml:space="preserve"> (0.70), </w:t>
      </w:r>
      <w:r w:rsidRPr="00C85AF5">
        <w:rPr>
          <w:rFonts w:ascii="Times New Roman" w:eastAsia="Times New Roman" w:hAnsi="Times New Roman" w:cs="Times New Roman"/>
          <w:color w:val="000000"/>
          <w:sz w:val="28"/>
          <w:szCs w:val="28"/>
        </w:rPr>
        <w:t>Nocturnal</w:t>
      </w:r>
      <w:r w:rsidRPr="00C85AF5">
        <w:rPr>
          <w:rFonts w:ascii="Times New Roman" w:eastAsia="Calibri" w:hAnsi="Times New Roman" w:cs="Times New Roman"/>
          <w:sz w:val="28"/>
          <w:szCs w:val="28"/>
          <w:lang w:bidi="ar-IQ"/>
        </w:rPr>
        <w:t xml:space="preserve"> (0.60), and rest (0.40) respectively. The result showed there is less significant difference compare to the study group.</w:t>
      </w:r>
    </w:p>
    <w:p w:rsidR="00C85AF5" w:rsidRPr="00C85AF5" w:rsidRDefault="00C85AF5" w:rsidP="00C85AF5">
      <w:pPr>
        <w:bidi/>
        <w:spacing w:after="0" w:line="276" w:lineRule="auto"/>
        <w:ind w:right="-243"/>
        <w:jc w:val="center"/>
        <w:rPr>
          <w:rFonts w:ascii="Times New Roman" w:eastAsia="Calibri" w:hAnsi="Times New Roman" w:cs="Times New Roman"/>
          <w:sz w:val="28"/>
          <w:szCs w:val="28"/>
        </w:rPr>
      </w:pPr>
      <w:r w:rsidRPr="00C85AF5">
        <w:rPr>
          <w:rFonts w:ascii="Times New Roman" w:eastAsia="Calibri" w:hAnsi="Times New Roman" w:cs="Times New Roman"/>
          <w:b/>
          <w:bCs/>
          <w:sz w:val="24"/>
          <w:szCs w:val="24"/>
        </w:rPr>
        <w:lastRenderedPageBreak/>
        <w:t xml:space="preserve">Table 4.7. </w:t>
      </w:r>
      <w:r w:rsidRPr="00C85AF5">
        <w:rPr>
          <w:rFonts w:ascii="Times New Roman" w:eastAsia="Calibri" w:hAnsi="Times New Roman" w:cs="Times New Roman"/>
          <w:sz w:val="28"/>
          <w:szCs w:val="28"/>
        </w:rPr>
        <w:t>Paired Sample T Test between the mean of pre and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rPr>
        <w:t xml:space="preserve"> pain score with each of the (Walking, Stair Climbing, Nocturnal, Rest, and Weight Bearing) from control group</w:t>
      </w:r>
    </w:p>
    <w:p w:rsidR="00C85AF5" w:rsidRPr="00C85AF5" w:rsidRDefault="00C85AF5" w:rsidP="00C85AF5">
      <w:pPr>
        <w:bidi/>
        <w:spacing w:after="0" w:line="240" w:lineRule="auto"/>
        <w:ind w:right="-243"/>
        <w:jc w:val="both"/>
        <w:rPr>
          <w:rFonts w:ascii="Times New Roman" w:eastAsia="Calibri" w:hAnsi="Times New Roman" w:cs="Times New Roman"/>
          <w:sz w:val="24"/>
          <w:szCs w:val="24"/>
          <w:lang w:bidi="ar-IQ"/>
        </w:rPr>
      </w:pPr>
    </w:p>
    <w:tbl>
      <w:tblPr>
        <w:tblW w:w="8394" w:type="dxa"/>
        <w:tblInd w:w="337" w:type="dxa"/>
        <w:tblLook w:val="04A0" w:firstRow="1" w:lastRow="0" w:firstColumn="1" w:lastColumn="0" w:noHBand="0" w:noVBand="1"/>
      </w:tblPr>
      <w:tblGrid>
        <w:gridCol w:w="2568"/>
        <w:gridCol w:w="630"/>
        <w:gridCol w:w="943"/>
        <w:gridCol w:w="1242"/>
        <w:gridCol w:w="1163"/>
        <w:gridCol w:w="924"/>
        <w:gridCol w:w="924"/>
      </w:tblGrid>
      <w:tr w:rsidR="00C85AF5" w:rsidRPr="00C85AF5" w:rsidTr="00631D4F">
        <w:trPr>
          <w:trHeight w:val="1066"/>
        </w:trPr>
        <w:tc>
          <w:tcPr>
            <w:tcW w:w="31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 Difference</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Std. Deviation</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t</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p-value</w:t>
            </w:r>
          </w:p>
        </w:tc>
      </w:tr>
      <w:tr w:rsidR="00C85AF5" w:rsidRPr="00C85AF5" w:rsidTr="00631D4F">
        <w:trPr>
          <w:trHeight w:val="355"/>
        </w:trPr>
        <w:tc>
          <w:tcPr>
            <w:tcW w:w="2568"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Walking</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2.700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0.470</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5.667</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55"/>
        </w:trPr>
        <w:tc>
          <w:tcPr>
            <w:tcW w:w="25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0.933</w:t>
            </w: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55"/>
        </w:trPr>
        <w:tc>
          <w:tcPr>
            <w:tcW w:w="2568"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Stair Climbing</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0.933</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4.765</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55"/>
        </w:trPr>
        <w:tc>
          <w:tcPr>
            <w:tcW w:w="25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1.950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1.395</w:t>
            </w: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55"/>
        </w:trPr>
        <w:tc>
          <w:tcPr>
            <w:tcW w:w="2568"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Nocturnal</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1.100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0.852</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5.339</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55"/>
        </w:trPr>
        <w:tc>
          <w:tcPr>
            <w:tcW w:w="25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0.607</w:t>
            </w: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55"/>
        </w:trPr>
        <w:tc>
          <w:tcPr>
            <w:tcW w:w="2568"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Rest</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0.400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0.745</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3.599</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0.002</w:t>
            </w:r>
          </w:p>
        </w:tc>
      </w:tr>
      <w:tr w:rsidR="00C85AF5" w:rsidRPr="00C85AF5" w:rsidTr="00631D4F">
        <w:trPr>
          <w:trHeight w:val="355"/>
        </w:trPr>
        <w:tc>
          <w:tcPr>
            <w:tcW w:w="25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0.250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0.444</w:t>
            </w: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55"/>
        </w:trPr>
        <w:tc>
          <w:tcPr>
            <w:tcW w:w="2568"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Weight Bearing</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2.450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1.100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0.826</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6.85</w:t>
            </w:r>
          </w:p>
        </w:tc>
        <w:tc>
          <w:tcPr>
            <w:tcW w:w="9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55"/>
        </w:trPr>
        <w:tc>
          <w:tcPr>
            <w:tcW w:w="25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4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0.933</w:t>
            </w: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2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bl>
    <w:p w:rsidR="00C85AF5" w:rsidRPr="00C85AF5" w:rsidRDefault="00C85AF5" w:rsidP="00C85AF5">
      <w:pPr>
        <w:spacing w:after="200" w:line="360" w:lineRule="auto"/>
        <w:jc w:val="both"/>
        <w:rPr>
          <w:rFonts w:ascii="Times New Roman" w:eastAsia="Calibri" w:hAnsi="Times New Roman" w:cs="Times New Roman"/>
          <w:b/>
          <w:bCs/>
          <w:sz w:val="28"/>
          <w:szCs w:val="28"/>
          <w:lang w:bidi="ar-IQ"/>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spacing w:after="200" w:line="360" w:lineRule="auto"/>
        <w:jc w:val="both"/>
        <w:rPr>
          <w:rFonts w:ascii="Times New Roman" w:eastAsia="Calibri" w:hAnsi="Times New Roman" w:cs="Times New Roman"/>
          <w:b/>
          <w:bCs/>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 xml:space="preserve">Table 4.8. </w:t>
      </w:r>
      <w:r w:rsidRPr="00C85AF5">
        <w:rPr>
          <w:rFonts w:ascii="Times New Roman" w:eastAsia="Calibri" w:hAnsi="Times New Roman" w:cs="Times New Roman"/>
          <w:sz w:val="28"/>
          <w:szCs w:val="28"/>
          <w:lang w:bidi="ar-IQ"/>
        </w:rPr>
        <w:t xml:space="preserve">there is a statistical significant difference between the mean pre and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scores with each of the physical activities individually from study group because their p-values are less than the significant level of α=0.05. In addition, the average of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for each of them is lower than the average for pre-</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it means, the pain of patients are decreased in the end of intervention. </w:t>
      </w: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In the case study, standing is considerably more successful than any other approach for reducing patients' pain because it has the largest mean difference value (2), which is followed by the other approaches, as seen in figure (4.10.).</w:t>
      </w: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276"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rPr>
        <w:t xml:space="preserve">Table 4.8. </w:t>
      </w:r>
      <w:r w:rsidRPr="00C85AF5">
        <w:rPr>
          <w:rFonts w:ascii="Times New Roman" w:eastAsia="Calibri" w:hAnsi="Times New Roman" w:cs="Times New Roman"/>
          <w:sz w:val="28"/>
          <w:szCs w:val="28"/>
        </w:rPr>
        <w:t>Paired Sample T Test between the mean of pre and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rPr>
        <w:t xml:space="preserve"> pain score with each of the sixteen physical activates from study group</w:t>
      </w:r>
    </w:p>
    <w:p w:rsidR="00C85AF5" w:rsidRPr="00C85AF5" w:rsidRDefault="00C85AF5" w:rsidP="00C85AF5">
      <w:pPr>
        <w:bidi/>
        <w:spacing w:after="0" w:line="240" w:lineRule="auto"/>
        <w:ind w:right="-243"/>
        <w:jc w:val="both"/>
        <w:rPr>
          <w:rFonts w:ascii="Times New Roman" w:eastAsia="Calibri" w:hAnsi="Times New Roman" w:cs="Times New Roman"/>
          <w:b/>
          <w:bCs/>
          <w:sz w:val="28"/>
          <w:szCs w:val="28"/>
        </w:rPr>
      </w:pPr>
    </w:p>
    <w:tbl>
      <w:tblPr>
        <w:tblW w:w="8080" w:type="dxa"/>
        <w:tblInd w:w="562" w:type="dxa"/>
        <w:tblLook w:val="04A0" w:firstRow="1" w:lastRow="0" w:firstColumn="1" w:lastColumn="0" w:noHBand="0" w:noVBand="1"/>
      </w:tblPr>
      <w:tblGrid>
        <w:gridCol w:w="1843"/>
        <w:gridCol w:w="709"/>
        <w:gridCol w:w="997"/>
        <w:gridCol w:w="1242"/>
        <w:gridCol w:w="1163"/>
        <w:gridCol w:w="992"/>
        <w:gridCol w:w="1134"/>
      </w:tblGrid>
      <w:tr w:rsidR="00C85AF5" w:rsidRPr="00C85AF5" w:rsidTr="00631D4F">
        <w:trPr>
          <w:trHeight w:val="630"/>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 Difference</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Std. Deviation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p-value</w:t>
            </w: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Descending stairs</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3.2500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1.9000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0.8507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9.318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0.8127</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Ascending stairs</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3.2500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1.9000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0.8507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9.318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0.8127</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Rising from sitting</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0.8751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8.107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0.8256</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Standing</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2.5000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2.0000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0.8885</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9.747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0.6882</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Bending to the floor</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2.7000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1.7500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0.7327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9.952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0.5104</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Getting in/out of the car</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2.3500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1.8500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0.8127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8.373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0.6882</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Going shopping</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1.8500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0.8127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7.955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0.7678</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Putting socks</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2.4000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0.9403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7.61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0.6959</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Rising from the bed</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2.4500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1.7500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0.8256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8.097</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0.6569</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Taking of socks</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2.4000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0.9403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7.61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0.6959</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Lying in bed</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1.7000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1.4500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1.0311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6.868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0.2500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0.5501</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Getting in/out bath</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2.4500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0.7592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9.488</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0.7864</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Sitting</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2.7000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0.7327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10.49</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0.7182</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Getting on/off toilet</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2.8500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1.6500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0.6708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8.435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1.2000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0.7678</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Performing heavy domestic duties</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1.4500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0.8127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8.542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1.2000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0.6959</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Performing light  domestic duties</w:t>
            </w: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2.0500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0.9445</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7.193</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184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7"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0.4500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0.6863</w:t>
            </w:r>
          </w:p>
        </w:tc>
        <w:tc>
          <w:tcPr>
            <w:tcW w:w="99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13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bl>
    <w:p w:rsidR="00C85AF5" w:rsidRPr="00C85AF5" w:rsidRDefault="00C85AF5" w:rsidP="00C85AF5">
      <w:pPr>
        <w:spacing w:after="200" w:line="360" w:lineRule="auto"/>
        <w:jc w:val="both"/>
        <w:rPr>
          <w:rFonts w:ascii="Times New Roman" w:eastAsia="Calibri" w:hAnsi="Times New Roman" w:cs="Times New Roman"/>
          <w:sz w:val="24"/>
          <w:szCs w:val="24"/>
          <w:lang w:bidi="ar-IQ"/>
        </w:rPr>
      </w:pPr>
    </w:p>
    <w:p w:rsidR="00C85AF5" w:rsidRPr="00C85AF5" w:rsidRDefault="00C85AF5" w:rsidP="00C85AF5">
      <w:pPr>
        <w:spacing w:after="200" w:line="360" w:lineRule="auto"/>
        <w:jc w:val="both"/>
        <w:rPr>
          <w:rFonts w:ascii="Times New Roman" w:eastAsia="Calibri" w:hAnsi="Times New Roman" w:cs="Times New Roman"/>
          <w:sz w:val="24"/>
          <w:szCs w:val="24"/>
          <w:lang w:bidi="ar-IQ"/>
        </w:rPr>
      </w:pPr>
      <w:r w:rsidRPr="00C85AF5">
        <w:rPr>
          <w:rFonts w:ascii="Calibri" w:eastAsia="Calibri" w:hAnsi="Calibri" w:cs="Arial"/>
          <w:noProof/>
        </w:rPr>
        <w:lastRenderedPageBreak/>
        <w:drawing>
          <wp:inline distT="0" distB="0" distL="0" distR="0" wp14:anchorId="6448EF02" wp14:editId="5D06015B">
            <wp:extent cx="5274310" cy="3084195"/>
            <wp:effectExtent l="0" t="0" r="2540"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color w:val="000000"/>
          <w:sz w:val="28"/>
          <w:szCs w:val="28"/>
          <w:lang w:bidi="ar-IQ"/>
        </w:rPr>
        <w:t xml:space="preserve">Fig 4.10. </w:t>
      </w:r>
      <w:r w:rsidRPr="00C85AF5">
        <w:rPr>
          <w:rFonts w:ascii="Times New Roman" w:eastAsia="Calibri" w:hAnsi="Times New Roman" w:cs="Times New Roman"/>
          <w:color w:val="000000"/>
          <w:sz w:val="28"/>
          <w:szCs w:val="28"/>
        </w:rPr>
        <w:t>Mean difference between pre and post</w:t>
      </w:r>
      <w:r w:rsidRPr="00C85AF5">
        <w:rPr>
          <w:rFonts w:ascii="Times New Roman" w:eastAsia="Times New Roman" w:hAnsi="Times New Roman" w:cs="Times New Roman"/>
          <w:color w:val="000000"/>
          <w:sz w:val="28"/>
          <w:szCs w:val="28"/>
        </w:rPr>
        <w:t xml:space="preserve"> treatment</w:t>
      </w:r>
      <w:r w:rsidRPr="00C85AF5">
        <w:rPr>
          <w:rFonts w:ascii="Times New Roman" w:eastAsia="Calibri" w:hAnsi="Times New Roman" w:cs="Times New Roman"/>
          <w:color w:val="000000"/>
          <w:sz w:val="28"/>
          <w:szCs w:val="28"/>
        </w:rPr>
        <w:t xml:space="preserve"> pain score with each of the sixteen physical activates from study group</w:t>
      </w:r>
      <w:r w:rsidRPr="00C85AF5">
        <w:rPr>
          <w:rFonts w:ascii="Times New Roman" w:eastAsia="Calibri" w:hAnsi="Times New Roman" w:cs="Times New Roman"/>
          <w:color w:val="000000"/>
          <w:sz w:val="28"/>
          <w:szCs w:val="28"/>
          <w:lang w:bidi="ar-IQ"/>
        </w:rPr>
        <w:t xml:space="preserve"> using Bar Chart</w:t>
      </w:r>
    </w:p>
    <w:p w:rsidR="00C85AF5" w:rsidRPr="00C85AF5" w:rsidRDefault="00C85AF5" w:rsidP="00C85AF5">
      <w:pPr>
        <w:spacing w:after="200" w:line="360" w:lineRule="auto"/>
        <w:jc w:val="both"/>
        <w:rPr>
          <w:rFonts w:ascii="Times New Roman" w:eastAsia="Calibri" w:hAnsi="Times New Roman" w:cs="Times New Roman"/>
          <w:sz w:val="24"/>
          <w:szCs w:val="24"/>
          <w:lang w:bidi="ar-IQ"/>
        </w:rPr>
      </w:pPr>
    </w:p>
    <w:p w:rsidR="00C85AF5" w:rsidRPr="00C85AF5" w:rsidRDefault="00C85AF5" w:rsidP="00C85AF5">
      <w:pPr>
        <w:spacing w:after="200" w:line="360" w:lineRule="auto"/>
        <w:jc w:val="both"/>
        <w:rPr>
          <w:rFonts w:ascii="Times New Roman" w:eastAsia="Calibri" w:hAnsi="Times New Roman" w:cs="Times New Roman"/>
          <w:sz w:val="24"/>
          <w:szCs w:val="24"/>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 xml:space="preserve">Table 4.9. </w:t>
      </w:r>
      <w:r w:rsidRPr="00C85AF5">
        <w:rPr>
          <w:rFonts w:ascii="Times New Roman" w:eastAsia="Calibri" w:hAnsi="Times New Roman" w:cs="Times New Roman"/>
          <w:sz w:val="28"/>
          <w:szCs w:val="28"/>
          <w:lang w:bidi="ar-IQ"/>
        </w:rPr>
        <w:t xml:space="preserve">there is a statistical significant difference between the mean pre and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scores with physical activates except Lying in bed from control group because their p-values are less than the significant level of α=0.05. In addition, the average of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for each of them is less than the average for pre-</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compared to study group.</w:t>
      </w: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sz w:val="28"/>
          <w:szCs w:val="28"/>
          <w:lang w:bidi="ar-IQ"/>
        </w:rPr>
        <w:t>In the case study, standing is considerably more successful than any other approach for reducing patients' pain because it has the largest mean difference value (1.1), which is followed by the other approaches but all of them are less effective than study group, as seen in figure (4.11.).</w:t>
      </w:r>
    </w:p>
    <w:p w:rsidR="00C85AF5" w:rsidRPr="00C85AF5" w:rsidRDefault="00C85AF5" w:rsidP="00C85AF5">
      <w:pPr>
        <w:spacing w:after="200" w:line="360" w:lineRule="auto"/>
        <w:jc w:val="both"/>
        <w:rPr>
          <w:rFonts w:ascii="Times New Roman" w:eastAsia="Calibri" w:hAnsi="Times New Roman" w:cs="Times New Roman"/>
          <w:sz w:val="24"/>
          <w:szCs w:val="24"/>
          <w:lang w:bidi="ar-IQ"/>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76" w:lineRule="auto"/>
        <w:ind w:right="-243"/>
        <w:jc w:val="center"/>
        <w:rPr>
          <w:rFonts w:ascii="Times New Roman" w:eastAsia="Calibri" w:hAnsi="Times New Roman" w:cs="Times New Roman"/>
          <w:sz w:val="28"/>
          <w:szCs w:val="28"/>
        </w:rPr>
      </w:pPr>
      <w:r w:rsidRPr="00C85AF5">
        <w:rPr>
          <w:rFonts w:ascii="Times New Roman" w:eastAsia="Calibri" w:hAnsi="Times New Roman" w:cs="Times New Roman"/>
          <w:b/>
          <w:bCs/>
          <w:sz w:val="28"/>
          <w:szCs w:val="28"/>
        </w:rPr>
        <w:lastRenderedPageBreak/>
        <w:t xml:space="preserve">Table 4.9. </w:t>
      </w:r>
      <w:r w:rsidRPr="00C85AF5">
        <w:rPr>
          <w:rFonts w:ascii="Times New Roman" w:eastAsia="Calibri" w:hAnsi="Times New Roman" w:cs="Times New Roman"/>
          <w:sz w:val="28"/>
          <w:szCs w:val="28"/>
        </w:rPr>
        <w:t>Paired Sample T Test between the mean of pre and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rPr>
        <w:t xml:space="preserve"> pain score with each of the sixteen physical activates from control group</w:t>
      </w:r>
    </w:p>
    <w:p w:rsidR="00C85AF5" w:rsidRPr="00C85AF5" w:rsidRDefault="00C85AF5" w:rsidP="00C85AF5">
      <w:pPr>
        <w:bidi/>
        <w:spacing w:after="0" w:line="240" w:lineRule="auto"/>
        <w:ind w:right="-243"/>
        <w:jc w:val="both"/>
        <w:rPr>
          <w:rFonts w:ascii="Times New Roman" w:eastAsia="Calibri" w:hAnsi="Times New Roman" w:cs="Times New Roman"/>
          <w:b/>
          <w:bCs/>
          <w:sz w:val="28"/>
          <w:szCs w:val="28"/>
        </w:rPr>
      </w:pPr>
    </w:p>
    <w:tbl>
      <w:tblPr>
        <w:tblW w:w="8625" w:type="dxa"/>
        <w:tblInd w:w="-5" w:type="dxa"/>
        <w:tblLook w:val="04A0" w:firstRow="1" w:lastRow="0" w:firstColumn="1" w:lastColumn="0" w:noHBand="0" w:noVBand="1"/>
      </w:tblPr>
      <w:tblGrid>
        <w:gridCol w:w="2690"/>
        <w:gridCol w:w="630"/>
        <w:gridCol w:w="980"/>
        <w:gridCol w:w="1242"/>
        <w:gridCol w:w="1163"/>
        <w:gridCol w:w="960"/>
        <w:gridCol w:w="960"/>
      </w:tblGrid>
      <w:tr w:rsidR="00C85AF5" w:rsidRPr="00C85AF5" w:rsidTr="00631D4F">
        <w:trPr>
          <w:trHeight w:val="945"/>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 Difference</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Std. Deviation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p-value</w:t>
            </w: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Descending stairs</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0.883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4.333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1.950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1.395</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Ascending stairs</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0.883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4.333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1.950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1.395</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Rising from sitting</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2.400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0.681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7.025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1.450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0.945</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Standing</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1.100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0.503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6.85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1.500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0.827</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Bending to the floor</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2.100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0.852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8.718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0.865</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Gettingin in/out of the car</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1.100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0.400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0.788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3.559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0.002</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0.733</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Going shoping</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2.400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0.681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6.835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0.821</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Putting socks</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0.350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0.945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3.199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0.005</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0.754</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Rising from the bed</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1.100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0.450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0.968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3.943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0.001</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0.813</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Taking of socks</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0.350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0.945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3.199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0.005</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0.754</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Lying in bed</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0.100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0.759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1.453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FF0000"/>
                <w:sz w:val="24"/>
                <w:szCs w:val="24"/>
              </w:rPr>
            </w:pPr>
            <w:r w:rsidRPr="00C85AF5">
              <w:rPr>
                <w:rFonts w:ascii="Times New Roman" w:eastAsia="Times New Roman" w:hAnsi="Times New Roman" w:cs="Times New Roman"/>
                <w:color w:val="595959"/>
                <w:sz w:val="24"/>
                <w:szCs w:val="24"/>
              </w:rPr>
              <w:t>0.163</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0.450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0.605</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Getting in/out bath</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1.550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0.605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4.333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0.852</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Sitting</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2.000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1.076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5.252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1.250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0.910</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Getting on/off toilet</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2.600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0.821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4.273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1.900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1.021</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Performing heavy domestic duties</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2.550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0.686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5.141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1.020</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r w:rsidR="00C85AF5" w:rsidRPr="00C85AF5" w:rsidTr="00631D4F">
        <w:trPr>
          <w:trHeight w:val="31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Performing light  domestic duties</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1.350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0.750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0.745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6.097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31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0.600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0.821</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bl>
    <w:p w:rsidR="00C85AF5" w:rsidRPr="00C85AF5" w:rsidRDefault="00C85AF5" w:rsidP="00C85AF5">
      <w:pPr>
        <w:spacing w:after="200" w:line="360" w:lineRule="auto"/>
        <w:jc w:val="both"/>
        <w:rPr>
          <w:rFonts w:ascii="Times New Roman" w:eastAsia="Calibri" w:hAnsi="Times New Roman" w:cs="Times New Roman"/>
          <w:sz w:val="24"/>
          <w:szCs w:val="24"/>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b/>
          <w:bCs/>
          <w:color w:val="000000"/>
          <w:sz w:val="24"/>
          <w:szCs w:val="24"/>
          <w:lang w:bidi="ar-IQ"/>
        </w:rPr>
      </w:pPr>
      <w:r w:rsidRPr="00C85AF5">
        <w:rPr>
          <w:rFonts w:ascii="Times New Roman" w:eastAsia="Calibri" w:hAnsi="Times New Roman" w:cs="Times New Roman"/>
          <w:noProof/>
          <w:color w:val="000000"/>
          <w:sz w:val="24"/>
          <w:szCs w:val="24"/>
        </w:rPr>
        <w:lastRenderedPageBreak/>
        <w:drawing>
          <wp:inline distT="0" distB="0" distL="0" distR="0" wp14:anchorId="4A6EF3E6" wp14:editId="1D8F915A">
            <wp:extent cx="5743575" cy="3111500"/>
            <wp:effectExtent l="0" t="0" r="9525"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color w:val="000000"/>
          <w:sz w:val="28"/>
          <w:szCs w:val="28"/>
          <w:lang w:bidi="ar-IQ"/>
        </w:rPr>
      </w:pPr>
      <w:r w:rsidRPr="00C85AF5">
        <w:rPr>
          <w:rFonts w:ascii="Times New Roman" w:eastAsia="Calibri" w:hAnsi="Times New Roman" w:cs="Times New Roman"/>
          <w:color w:val="000000"/>
          <w:sz w:val="28"/>
          <w:szCs w:val="28"/>
          <w:lang w:bidi="ar-IQ"/>
        </w:rPr>
        <w:t xml:space="preserve">Fig 4.11. </w:t>
      </w:r>
      <w:r w:rsidRPr="00C85AF5">
        <w:rPr>
          <w:rFonts w:ascii="Times New Roman" w:eastAsia="Calibri" w:hAnsi="Times New Roman" w:cs="Times New Roman"/>
          <w:color w:val="000000"/>
          <w:sz w:val="28"/>
          <w:szCs w:val="28"/>
        </w:rPr>
        <w:t>Mean difference between pre and post</w:t>
      </w:r>
      <w:r w:rsidRPr="00C85AF5">
        <w:rPr>
          <w:rFonts w:ascii="Times New Roman" w:eastAsia="Times New Roman" w:hAnsi="Times New Roman" w:cs="Times New Roman"/>
          <w:color w:val="000000"/>
          <w:sz w:val="28"/>
          <w:szCs w:val="28"/>
        </w:rPr>
        <w:t xml:space="preserve"> treatment</w:t>
      </w:r>
      <w:r w:rsidRPr="00C85AF5">
        <w:rPr>
          <w:rFonts w:ascii="Times New Roman" w:eastAsia="Calibri" w:hAnsi="Times New Roman" w:cs="Times New Roman"/>
          <w:color w:val="000000"/>
          <w:sz w:val="28"/>
          <w:szCs w:val="28"/>
        </w:rPr>
        <w:t xml:space="preserve"> pain score with each of the sixteen physical activates from control group</w:t>
      </w:r>
      <w:r w:rsidRPr="00C85AF5">
        <w:rPr>
          <w:rFonts w:ascii="Times New Roman" w:eastAsia="Calibri" w:hAnsi="Times New Roman" w:cs="Times New Roman"/>
          <w:color w:val="000000"/>
          <w:sz w:val="28"/>
          <w:szCs w:val="28"/>
          <w:lang w:bidi="ar-IQ"/>
        </w:rPr>
        <w:t xml:space="preserve"> using Bar Chart</w:t>
      </w: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b/>
          <w:bCs/>
          <w:color w:val="000000"/>
          <w:sz w:val="24"/>
          <w:szCs w:val="24"/>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b/>
          <w:bCs/>
          <w:color w:val="000000"/>
          <w:sz w:val="24"/>
          <w:szCs w:val="24"/>
          <w:lang w:bidi="ar-IQ"/>
        </w:rPr>
      </w:pP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sz w:val="24"/>
          <w:szCs w:val="24"/>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Table 4.10.</w:t>
      </w:r>
      <w:r w:rsidRPr="00C85AF5">
        <w:rPr>
          <w:rFonts w:ascii="Times New Roman" w:eastAsia="Calibri" w:hAnsi="Times New Roman" w:cs="Times New Roman"/>
          <w:sz w:val="28"/>
          <w:szCs w:val="28"/>
          <w:lang w:bidi="ar-IQ"/>
        </w:rPr>
        <w:t xml:space="preserve"> there is a statistical significant difference between the mean pre and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with overall pain score from study group because its p-value is less than the significant level of α=0.05. In addition, the average of overall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 (1.10) is lower than the average for pre-</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(2.9).</w:t>
      </w:r>
    </w:p>
    <w:p w:rsidR="00C85AF5" w:rsidRPr="00C85AF5" w:rsidRDefault="00C85AF5" w:rsidP="00C85AF5">
      <w:pPr>
        <w:autoSpaceDE w:val="0"/>
        <w:autoSpaceDN w:val="0"/>
        <w:adjustRightInd w:val="0"/>
        <w:spacing w:after="0" w:line="360" w:lineRule="auto"/>
        <w:jc w:val="both"/>
        <w:rPr>
          <w:rFonts w:ascii="Times New Roman" w:eastAsia="Calibri" w:hAnsi="Times New Roman" w:cs="Times New Roman"/>
          <w:sz w:val="24"/>
          <w:szCs w:val="24"/>
          <w:lang w:bidi="ar-IQ"/>
        </w:rPr>
      </w:pPr>
    </w:p>
    <w:p w:rsidR="00C85AF5" w:rsidRPr="00C85AF5" w:rsidRDefault="00C85AF5" w:rsidP="00C85AF5">
      <w:pPr>
        <w:autoSpaceDE w:val="0"/>
        <w:autoSpaceDN w:val="0"/>
        <w:adjustRightInd w:val="0"/>
        <w:spacing w:after="0" w:line="360" w:lineRule="auto"/>
        <w:jc w:val="center"/>
        <w:rPr>
          <w:rFonts w:ascii="Times New Roman" w:eastAsia="Calibri" w:hAnsi="Times New Roman" w:cs="Times New Roman"/>
          <w:sz w:val="24"/>
          <w:szCs w:val="24"/>
          <w:lang w:bidi="ar-IQ"/>
        </w:rPr>
      </w:pPr>
    </w:p>
    <w:p w:rsidR="00C85AF5" w:rsidRPr="00C85AF5" w:rsidRDefault="00C85AF5" w:rsidP="00C85AF5">
      <w:pPr>
        <w:bidi/>
        <w:spacing w:after="0" w:line="240" w:lineRule="auto"/>
        <w:ind w:right="-243"/>
        <w:jc w:val="center"/>
        <w:rPr>
          <w:rFonts w:ascii="Times New Roman" w:eastAsia="Calibri" w:hAnsi="Times New Roman" w:cs="Times New Roman"/>
          <w:sz w:val="28"/>
          <w:szCs w:val="28"/>
        </w:rPr>
      </w:pPr>
      <w:r w:rsidRPr="00C85AF5">
        <w:rPr>
          <w:rFonts w:ascii="Times New Roman" w:eastAsia="Calibri" w:hAnsi="Times New Roman" w:cs="Times New Roman"/>
          <w:b/>
          <w:bCs/>
          <w:sz w:val="28"/>
          <w:szCs w:val="28"/>
        </w:rPr>
        <w:t xml:space="preserve">Table 4.10. </w:t>
      </w:r>
      <w:r w:rsidRPr="00C85AF5">
        <w:rPr>
          <w:rFonts w:ascii="Times New Roman" w:eastAsia="Calibri" w:hAnsi="Times New Roman" w:cs="Times New Roman"/>
          <w:sz w:val="28"/>
          <w:szCs w:val="28"/>
        </w:rPr>
        <w:t xml:space="preserve">Paired Sample T Test between the mean of pre and </w:t>
      </w:r>
    </w:p>
    <w:p w:rsidR="00C85AF5" w:rsidRPr="00C85AF5" w:rsidRDefault="00C85AF5" w:rsidP="00C85AF5">
      <w:pPr>
        <w:bidi/>
        <w:spacing w:after="0" w:line="240" w:lineRule="auto"/>
        <w:ind w:right="-243"/>
        <w:jc w:val="center"/>
        <w:rPr>
          <w:rFonts w:ascii="Times New Roman" w:eastAsia="Calibri" w:hAnsi="Times New Roman" w:cs="Times New Roman"/>
          <w:sz w:val="28"/>
          <w:szCs w:val="28"/>
        </w:rPr>
      </w:pPr>
      <w:r w:rsidRPr="00C85AF5">
        <w:rPr>
          <w:rFonts w:ascii="Times New Roman" w:eastAsia="Calibri" w:hAnsi="Times New Roman" w:cs="Times New Roman"/>
          <w:sz w:val="28"/>
          <w:szCs w:val="28"/>
        </w:rPr>
        <w:t>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rPr>
        <w:t xml:space="preserve"> pain score with overall pain score from study group</w:t>
      </w:r>
    </w:p>
    <w:p w:rsidR="00C85AF5" w:rsidRPr="00C85AF5" w:rsidRDefault="00C85AF5" w:rsidP="00C85AF5">
      <w:pPr>
        <w:bidi/>
        <w:spacing w:after="0" w:line="240" w:lineRule="auto"/>
        <w:ind w:right="-243"/>
        <w:jc w:val="both"/>
        <w:rPr>
          <w:rFonts w:ascii="Times New Roman" w:eastAsia="Calibri" w:hAnsi="Times New Roman" w:cs="Times New Roman"/>
          <w:b/>
          <w:bCs/>
          <w:sz w:val="28"/>
          <w:szCs w:val="28"/>
        </w:rPr>
      </w:pPr>
    </w:p>
    <w:tbl>
      <w:tblPr>
        <w:tblW w:w="7733" w:type="dxa"/>
        <w:tblInd w:w="757" w:type="dxa"/>
        <w:tblLook w:val="04A0" w:firstRow="1" w:lastRow="0" w:firstColumn="1" w:lastColumn="0" w:noHBand="0" w:noVBand="1"/>
      </w:tblPr>
      <w:tblGrid>
        <w:gridCol w:w="2061"/>
        <w:gridCol w:w="724"/>
        <w:gridCol w:w="923"/>
        <w:gridCol w:w="1274"/>
        <w:gridCol w:w="1193"/>
        <w:gridCol w:w="779"/>
        <w:gridCol w:w="779"/>
      </w:tblGrid>
      <w:tr w:rsidR="00C85AF5" w:rsidRPr="00C85AF5" w:rsidTr="00631D4F">
        <w:trPr>
          <w:trHeight w:val="842"/>
        </w:trPr>
        <w:tc>
          <w:tcPr>
            <w:tcW w:w="27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 Difference</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Std. Deviation</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t</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p-value</w:t>
            </w:r>
          </w:p>
        </w:tc>
      </w:tr>
      <w:tr w:rsidR="00C85AF5" w:rsidRPr="00C85AF5" w:rsidTr="00631D4F">
        <w:trPr>
          <w:trHeight w:val="421"/>
        </w:trPr>
        <w:tc>
          <w:tcPr>
            <w:tcW w:w="2061"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Pain score</w:t>
            </w:r>
          </w:p>
        </w:tc>
        <w:tc>
          <w:tcPr>
            <w:tcW w:w="724"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2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2.9000</w:t>
            </w:r>
          </w:p>
        </w:tc>
        <w:tc>
          <w:tcPr>
            <w:tcW w:w="12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1.8000</w:t>
            </w:r>
          </w:p>
        </w:tc>
        <w:tc>
          <w:tcPr>
            <w:tcW w:w="119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0.3078</w:t>
            </w:r>
          </w:p>
        </w:tc>
        <w:tc>
          <w:tcPr>
            <w:tcW w:w="7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15.39</w:t>
            </w:r>
          </w:p>
        </w:tc>
        <w:tc>
          <w:tcPr>
            <w:tcW w:w="77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0.000</w:t>
            </w:r>
          </w:p>
        </w:tc>
      </w:tr>
      <w:tr w:rsidR="00C85AF5" w:rsidRPr="00C85AF5" w:rsidTr="00631D4F">
        <w:trPr>
          <w:trHeight w:val="421"/>
        </w:trPr>
        <w:tc>
          <w:tcPr>
            <w:tcW w:w="2061"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24"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2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1.1000</w:t>
            </w:r>
          </w:p>
        </w:tc>
        <w:tc>
          <w:tcPr>
            <w:tcW w:w="127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9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0.5525</w:t>
            </w:r>
          </w:p>
        </w:tc>
        <w:tc>
          <w:tcPr>
            <w:tcW w:w="779"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779"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bl>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Table 4.11.</w:t>
      </w:r>
      <w:r w:rsidRPr="00C85AF5">
        <w:rPr>
          <w:rFonts w:ascii="Times New Roman" w:eastAsia="Calibri" w:hAnsi="Times New Roman" w:cs="Times New Roman"/>
          <w:sz w:val="28"/>
          <w:szCs w:val="28"/>
          <w:lang w:bidi="ar-IQ"/>
        </w:rPr>
        <w:t xml:space="preserve"> there is a statistical significant difference between the mean pre and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with overall pain score from control group because its p-value is less than the significant level of α=0.05. In addition, the average of overall post </w:t>
      </w:r>
      <w:r w:rsidRPr="00C85AF5">
        <w:rPr>
          <w:rFonts w:ascii="Times New Roman" w:eastAsia="Times New Roman" w:hAnsi="Times New Roman" w:cs="Times New Roman"/>
          <w:sz w:val="28"/>
          <w:szCs w:val="28"/>
        </w:rPr>
        <w:t>treatment</w:t>
      </w:r>
      <w:r w:rsidRPr="00C85AF5">
        <w:rPr>
          <w:rFonts w:ascii="Times New Roman" w:eastAsia="Calibri" w:hAnsi="Times New Roman" w:cs="Times New Roman"/>
          <w:sz w:val="28"/>
          <w:szCs w:val="28"/>
          <w:lang w:bidi="ar-IQ"/>
        </w:rPr>
        <w:t xml:space="preserve"> pain score (1.80) is lower than the average for pre-</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(2.7).</w:t>
      </w:r>
    </w:p>
    <w:p w:rsidR="00C85AF5" w:rsidRPr="00C85AF5" w:rsidRDefault="00C85AF5" w:rsidP="00C85AF5">
      <w:pPr>
        <w:spacing w:after="200" w:line="240" w:lineRule="auto"/>
        <w:jc w:val="both"/>
        <w:rPr>
          <w:rFonts w:ascii="Times New Roman" w:eastAsia="Calibri" w:hAnsi="Times New Roman" w:cs="Times New Roman"/>
          <w:sz w:val="28"/>
          <w:szCs w:val="28"/>
          <w:lang w:bidi="ar-IQ"/>
        </w:rPr>
      </w:pPr>
    </w:p>
    <w:p w:rsidR="00C85AF5" w:rsidRPr="00C85AF5" w:rsidRDefault="00C85AF5" w:rsidP="00C85AF5">
      <w:pPr>
        <w:spacing w:after="200" w:line="240"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rPr>
        <w:t>Table 4.11.</w:t>
      </w:r>
      <w:r w:rsidRPr="00C85AF5">
        <w:rPr>
          <w:rFonts w:ascii="Times New Roman" w:eastAsia="Calibri" w:hAnsi="Times New Roman" w:cs="Times New Roman"/>
          <w:sz w:val="28"/>
          <w:szCs w:val="28"/>
        </w:rPr>
        <w:t xml:space="preserve"> Paired Sample T Test between</w:t>
      </w:r>
      <w:r w:rsidRPr="00C85AF5">
        <w:rPr>
          <w:rFonts w:ascii="Times New Roman" w:eastAsia="Calibri" w:hAnsi="Times New Roman" w:cs="Times New Roman"/>
          <w:sz w:val="28"/>
          <w:szCs w:val="28"/>
          <w:lang w:bidi="ar-IQ"/>
        </w:rPr>
        <w:t xml:space="preserve"> the mean pre and post</w:t>
      </w:r>
      <w:r w:rsidRPr="00C85AF5">
        <w:rPr>
          <w:rFonts w:ascii="Times New Roman" w:eastAsia="Times New Roman" w:hAnsi="Times New Roman" w:cs="Times New Roman"/>
          <w:sz w:val="28"/>
          <w:szCs w:val="28"/>
        </w:rPr>
        <w:t xml:space="preserve"> treatment</w:t>
      </w:r>
      <w:r w:rsidRPr="00C85AF5">
        <w:rPr>
          <w:rFonts w:ascii="Times New Roman" w:eastAsia="Calibri" w:hAnsi="Times New Roman" w:cs="Times New Roman"/>
          <w:sz w:val="28"/>
          <w:szCs w:val="28"/>
          <w:lang w:bidi="ar-IQ"/>
        </w:rPr>
        <w:t xml:space="preserve"> pain scores with overall pain score from control group</w:t>
      </w:r>
    </w:p>
    <w:tbl>
      <w:tblPr>
        <w:tblpPr w:leftFromText="180" w:rightFromText="180" w:vertAnchor="text" w:horzAnchor="margin" w:tblpXSpec="right" w:tblpY="-56"/>
        <w:tblW w:w="8697" w:type="dxa"/>
        <w:tblLook w:val="04A0" w:firstRow="1" w:lastRow="0" w:firstColumn="1" w:lastColumn="0" w:noHBand="0" w:noVBand="1"/>
      </w:tblPr>
      <w:tblGrid>
        <w:gridCol w:w="2713"/>
        <w:gridCol w:w="635"/>
        <w:gridCol w:w="988"/>
        <w:gridCol w:w="1252"/>
        <w:gridCol w:w="1173"/>
        <w:gridCol w:w="968"/>
        <w:gridCol w:w="968"/>
      </w:tblGrid>
      <w:tr w:rsidR="00C85AF5" w:rsidRPr="00C85AF5" w:rsidTr="00631D4F">
        <w:trPr>
          <w:trHeight w:val="1209"/>
        </w:trPr>
        <w:tc>
          <w:tcPr>
            <w:tcW w:w="3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988"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 Difference</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Std. Deviation</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t</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p-value</w:t>
            </w:r>
          </w:p>
        </w:tc>
      </w:tr>
      <w:tr w:rsidR="00C85AF5" w:rsidRPr="00C85AF5" w:rsidTr="00631D4F">
        <w:trPr>
          <w:trHeight w:val="403"/>
        </w:trPr>
        <w:tc>
          <w:tcPr>
            <w:tcW w:w="2713"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Pain score</w:t>
            </w:r>
          </w:p>
        </w:tc>
        <w:tc>
          <w:tcPr>
            <w:tcW w:w="635"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2.700</w:t>
            </w:r>
          </w:p>
        </w:tc>
        <w:tc>
          <w:tcPr>
            <w:tcW w:w="12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0.900</w:t>
            </w:r>
          </w:p>
        </w:tc>
        <w:tc>
          <w:tcPr>
            <w:tcW w:w="117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0.470</w:t>
            </w:r>
          </w:p>
        </w:tc>
        <w:tc>
          <w:tcPr>
            <w:tcW w:w="9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5.604</w:t>
            </w:r>
          </w:p>
        </w:tc>
        <w:tc>
          <w:tcPr>
            <w:tcW w:w="9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highlight w:val="yellow"/>
              </w:rPr>
            </w:pPr>
            <w:r w:rsidRPr="00C85AF5">
              <w:rPr>
                <w:rFonts w:ascii="Times New Roman" w:eastAsia="Times New Roman" w:hAnsi="Times New Roman" w:cs="Times New Roman"/>
                <w:sz w:val="24"/>
                <w:szCs w:val="24"/>
              </w:rPr>
              <w:t>0.000</w:t>
            </w:r>
          </w:p>
        </w:tc>
      </w:tr>
      <w:tr w:rsidR="00C85AF5" w:rsidRPr="00C85AF5" w:rsidTr="00631D4F">
        <w:trPr>
          <w:trHeight w:val="403"/>
        </w:trPr>
        <w:tc>
          <w:tcPr>
            <w:tcW w:w="2713"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5"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88"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1.800</w:t>
            </w:r>
          </w:p>
        </w:tc>
        <w:tc>
          <w:tcPr>
            <w:tcW w:w="125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7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0.951</w:t>
            </w:r>
          </w:p>
        </w:tc>
        <w:tc>
          <w:tcPr>
            <w:tcW w:w="9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8"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bl>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spacing w:after="200" w:line="360" w:lineRule="auto"/>
        <w:jc w:val="both"/>
        <w:rPr>
          <w:rFonts w:ascii="Times New Roman" w:eastAsia="Calibri" w:hAnsi="Times New Roman" w:cs="Times New Roman"/>
          <w:b/>
          <w:bCs/>
          <w:sz w:val="24"/>
          <w:szCs w:val="24"/>
        </w:rPr>
      </w:pPr>
    </w:p>
    <w:p w:rsidR="00C85AF5" w:rsidRPr="00C85AF5" w:rsidRDefault="00C85AF5" w:rsidP="00C85AF5">
      <w:pPr>
        <w:spacing w:after="200" w:line="360" w:lineRule="auto"/>
        <w:jc w:val="both"/>
        <w:rPr>
          <w:rFonts w:ascii="Times New Roman" w:eastAsia="Calibri" w:hAnsi="Times New Roman" w:cs="Times New Roman"/>
          <w:b/>
          <w:bCs/>
          <w:sz w:val="24"/>
          <w:szCs w:val="24"/>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t>Table 4.12.</w:t>
      </w:r>
      <w:r w:rsidRPr="00C85AF5">
        <w:rPr>
          <w:rFonts w:ascii="Times New Roman" w:eastAsia="Calibri" w:hAnsi="Times New Roman" w:cs="Times New Roman"/>
          <w:sz w:val="28"/>
          <w:szCs w:val="28"/>
          <w:lang w:bidi="ar-IQ"/>
        </w:rPr>
        <w:t xml:space="preserve"> there is a statistical significant difference between the mean pre and post </w:t>
      </w:r>
      <w:r w:rsidRPr="00C85AF5">
        <w:rPr>
          <w:rFonts w:ascii="Times New Roman" w:eastAsia="Times New Roman" w:hAnsi="Times New Roman" w:cs="Times New Roman"/>
          <w:color w:val="000000"/>
          <w:sz w:val="28"/>
          <w:szCs w:val="28"/>
        </w:rPr>
        <w:t>malalignment</w:t>
      </w:r>
      <w:r w:rsidRPr="00C85AF5">
        <w:rPr>
          <w:rFonts w:ascii="Times New Roman" w:eastAsia="Calibri" w:hAnsi="Times New Roman" w:cs="Times New Roman"/>
          <w:sz w:val="28"/>
          <w:szCs w:val="28"/>
          <w:lang w:bidi="ar-IQ"/>
        </w:rPr>
        <w:t xml:space="preserve"> degree from study group because its p-value is less than the significant level of α=0.05. In addition, the average of post </w:t>
      </w:r>
      <w:r w:rsidRPr="00C85AF5">
        <w:rPr>
          <w:rFonts w:ascii="Times New Roman" w:eastAsia="Times New Roman" w:hAnsi="Times New Roman" w:cs="Times New Roman"/>
          <w:color w:val="000000"/>
          <w:sz w:val="28"/>
          <w:szCs w:val="28"/>
        </w:rPr>
        <w:t>Malalignment</w:t>
      </w:r>
      <w:r w:rsidRPr="00C85AF5">
        <w:rPr>
          <w:rFonts w:ascii="Times New Roman" w:eastAsia="Calibri" w:hAnsi="Times New Roman" w:cs="Times New Roman"/>
          <w:sz w:val="28"/>
          <w:szCs w:val="28"/>
          <w:lang w:bidi="ar-IQ"/>
        </w:rPr>
        <w:t xml:space="preserve"> score (178.20) is lower than the average for pre </w:t>
      </w:r>
      <w:r w:rsidRPr="00C85AF5">
        <w:rPr>
          <w:rFonts w:ascii="Times New Roman" w:eastAsia="Times New Roman" w:hAnsi="Times New Roman" w:cs="Times New Roman"/>
          <w:color w:val="000000"/>
          <w:sz w:val="28"/>
          <w:szCs w:val="28"/>
        </w:rPr>
        <w:t>malalignment</w:t>
      </w:r>
      <w:r w:rsidRPr="00C85AF5">
        <w:rPr>
          <w:rFonts w:ascii="Times New Roman" w:eastAsia="Calibri" w:hAnsi="Times New Roman" w:cs="Times New Roman"/>
          <w:sz w:val="28"/>
          <w:szCs w:val="28"/>
          <w:lang w:bidi="ar-IQ"/>
        </w:rPr>
        <w:t xml:space="preserve"> degree (175.845).</w:t>
      </w: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bidi/>
        <w:spacing w:after="0" w:line="240" w:lineRule="auto"/>
        <w:ind w:right="-243"/>
        <w:jc w:val="both"/>
        <w:rPr>
          <w:rFonts w:ascii="Times New Roman" w:eastAsia="Calibri" w:hAnsi="Times New Roman" w:cs="Times New Roman"/>
          <w:b/>
          <w:bCs/>
          <w:sz w:val="24"/>
          <w:szCs w:val="24"/>
        </w:rPr>
      </w:pPr>
    </w:p>
    <w:p w:rsidR="00C85AF5" w:rsidRPr="00C85AF5" w:rsidRDefault="00C85AF5" w:rsidP="00C85AF5">
      <w:pPr>
        <w:bidi/>
        <w:spacing w:after="0" w:line="240" w:lineRule="auto"/>
        <w:ind w:right="-243"/>
        <w:jc w:val="center"/>
        <w:rPr>
          <w:rFonts w:ascii="Times New Roman" w:eastAsia="Calibri" w:hAnsi="Times New Roman" w:cs="Times New Roman"/>
          <w:sz w:val="28"/>
          <w:szCs w:val="28"/>
        </w:rPr>
      </w:pPr>
      <w:r w:rsidRPr="00C85AF5">
        <w:rPr>
          <w:rFonts w:ascii="Times New Roman" w:eastAsia="Calibri" w:hAnsi="Times New Roman" w:cs="Times New Roman"/>
          <w:b/>
          <w:bCs/>
          <w:sz w:val="28"/>
          <w:szCs w:val="28"/>
        </w:rPr>
        <w:t>Table 4.12.</w:t>
      </w:r>
      <w:r w:rsidRPr="00C85AF5">
        <w:rPr>
          <w:rFonts w:ascii="Times New Roman" w:eastAsia="Calibri" w:hAnsi="Times New Roman" w:cs="Times New Roman"/>
          <w:sz w:val="28"/>
          <w:szCs w:val="28"/>
        </w:rPr>
        <w:t xml:space="preserve"> Paired Sample T Test between the mean of pre and</w:t>
      </w:r>
    </w:p>
    <w:p w:rsidR="00C85AF5" w:rsidRPr="00C85AF5" w:rsidRDefault="00C85AF5" w:rsidP="00C85AF5">
      <w:pPr>
        <w:bidi/>
        <w:spacing w:after="0" w:line="240" w:lineRule="auto"/>
        <w:ind w:right="-243"/>
        <w:jc w:val="center"/>
        <w:rPr>
          <w:rFonts w:ascii="Times New Roman" w:eastAsia="Calibri" w:hAnsi="Times New Roman" w:cs="Times New Roman"/>
          <w:sz w:val="28"/>
          <w:szCs w:val="28"/>
        </w:rPr>
      </w:pPr>
      <w:r w:rsidRPr="00C85AF5">
        <w:rPr>
          <w:rFonts w:ascii="Times New Roman" w:eastAsia="Calibri" w:hAnsi="Times New Roman" w:cs="Times New Roman"/>
          <w:sz w:val="28"/>
          <w:szCs w:val="28"/>
        </w:rPr>
        <w:t>post Malalignment degree from study group</w:t>
      </w:r>
    </w:p>
    <w:p w:rsidR="00C85AF5" w:rsidRPr="00C85AF5" w:rsidRDefault="00C85AF5" w:rsidP="00C85AF5">
      <w:pPr>
        <w:bidi/>
        <w:spacing w:after="0" w:line="240" w:lineRule="auto"/>
        <w:ind w:right="-243"/>
        <w:jc w:val="both"/>
        <w:rPr>
          <w:rFonts w:ascii="Times New Roman" w:eastAsia="Calibri" w:hAnsi="Times New Roman" w:cs="Times New Roman"/>
          <w:b/>
          <w:bCs/>
          <w:sz w:val="28"/>
          <w:szCs w:val="28"/>
        </w:rPr>
      </w:pPr>
    </w:p>
    <w:tbl>
      <w:tblPr>
        <w:tblW w:w="8333" w:type="dxa"/>
        <w:tblInd w:w="367" w:type="dxa"/>
        <w:tblLook w:val="04A0" w:firstRow="1" w:lastRow="0" w:firstColumn="1" w:lastColumn="0" w:noHBand="0" w:noVBand="1"/>
      </w:tblPr>
      <w:tblGrid>
        <w:gridCol w:w="1754"/>
        <w:gridCol w:w="732"/>
        <w:gridCol w:w="1350"/>
        <w:gridCol w:w="1281"/>
        <w:gridCol w:w="1316"/>
        <w:gridCol w:w="876"/>
        <w:gridCol w:w="1024"/>
      </w:tblGrid>
      <w:tr w:rsidR="00C85AF5" w:rsidRPr="00C85AF5" w:rsidTr="00631D4F">
        <w:trPr>
          <w:trHeight w:val="776"/>
        </w:trPr>
        <w:tc>
          <w:tcPr>
            <w:tcW w:w="24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 Difference</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Std. Deviation</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t</w:t>
            </w:r>
          </w:p>
        </w:tc>
        <w:tc>
          <w:tcPr>
            <w:tcW w:w="1024"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p-value</w:t>
            </w:r>
          </w:p>
        </w:tc>
      </w:tr>
      <w:tr w:rsidR="00C85AF5" w:rsidRPr="00C85AF5" w:rsidTr="00631D4F">
        <w:trPr>
          <w:trHeight w:val="388"/>
        </w:trPr>
        <w:tc>
          <w:tcPr>
            <w:tcW w:w="1754"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Malalignment</w:t>
            </w:r>
          </w:p>
        </w:tc>
        <w:tc>
          <w:tcPr>
            <w:tcW w:w="732"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135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175.8750</w:t>
            </w:r>
          </w:p>
        </w:tc>
        <w:tc>
          <w:tcPr>
            <w:tcW w:w="128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-2.3250</w:t>
            </w:r>
          </w:p>
        </w:tc>
        <w:tc>
          <w:tcPr>
            <w:tcW w:w="1316"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3.6342</w:t>
            </w:r>
          </w:p>
        </w:tc>
        <w:tc>
          <w:tcPr>
            <w:tcW w:w="8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4.379</w:t>
            </w:r>
          </w:p>
        </w:tc>
        <w:tc>
          <w:tcPr>
            <w:tcW w:w="10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highlight w:val="yellow"/>
              </w:rPr>
            </w:pPr>
            <w:r w:rsidRPr="00C85AF5">
              <w:rPr>
                <w:rFonts w:ascii="Times New Roman" w:eastAsia="Times New Roman" w:hAnsi="Times New Roman" w:cs="Times New Roman"/>
                <w:sz w:val="24"/>
                <w:szCs w:val="24"/>
              </w:rPr>
              <w:t>0.000</w:t>
            </w:r>
          </w:p>
        </w:tc>
      </w:tr>
      <w:tr w:rsidR="00C85AF5" w:rsidRPr="00C85AF5" w:rsidTr="00631D4F">
        <w:trPr>
          <w:trHeight w:val="388"/>
        </w:trPr>
        <w:tc>
          <w:tcPr>
            <w:tcW w:w="1754"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732"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1350"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178.2000</w:t>
            </w:r>
          </w:p>
        </w:tc>
        <w:tc>
          <w:tcPr>
            <w:tcW w:w="1281"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316"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1.6654</w:t>
            </w:r>
          </w:p>
        </w:tc>
        <w:tc>
          <w:tcPr>
            <w:tcW w:w="876"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1024"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bl>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lang w:bidi="ar-IQ"/>
        </w:rPr>
        <w:lastRenderedPageBreak/>
        <w:t>Table 4.13.</w:t>
      </w:r>
      <w:r w:rsidRPr="00C85AF5">
        <w:rPr>
          <w:rFonts w:ascii="Times New Roman" w:eastAsia="Calibri" w:hAnsi="Times New Roman" w:cs="Times New Roman"/>
          <w:sz w:val="28"/>
          <w:szCs w:val="28"/>
          <w:lang w:bidi="ar-IQ"/>
        </w:rPr>
        <w:t xml:space="preserve"> there is no statistical significant difference between the mean pre and post </w:t>
      </w:r>
      <w:r w:rsidRPr="00C85AF5">
        <w:rPr>
          <w:rFonts w:ascii="Times New Roman" w:eastAsia="Times New Roman" w:hAnsi="Times New Roman" w:cs="Times New Roman"/>
          <w:color w:val="000000"/>
          <w:sz w:val="28"/>
          <w:szCs w:val="28"/>
        </w:rPr>
        <w:t>malalignment</w:t>
      </w:r>
      <w:r w:rsidRPr="00C85AF5">
        <w:rPr>
          <w:rFonts w:ascii="Times New Roman" w:eastAsia="Calibri" w:hAnsi="Times New Roman" w:cs="Times New Roman"/>
          <w:sz w:val="28"/>
          <w:szCs w:val="28"/>
          <w:lang w:bidi="ar-IQ"/>
        </w:rPr>
        <w:t xml:space="preserve"> degree from control group because its p-value is higher than the significant level of α=0.05. </w:t>
      </w: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spacing w:after="200" w:line="360" w:lineRule="auto"/>
        <w:jc w:val="both"/>
        <w:rPr>
          <w:rFonts w:ascii="Times New Roman" w:eastAsia="Calibri" w:hAnsi="Times New Roman" w:cs="Times New Roman"/>
          <w:sz w:val="28"/>
          <w:szCs w:val="28"/>
          <w:lang w:bidi="ar-IQ"/>
        </w:rPr>
      </w:pPr>
    </w:p>
    <w:p w:rsidR="00C85AF5" w:rsidRPr="00C85AF5" w:rsidRDefault="00C85AF5" w:rsidP="00C85AF5">
      <w:pPr>
        <w:bidi/>
        <w:spacing w:after="200" w:line="240" w:lineRule="auto"/>
        <w:jc w:val="center"/>
        <w:rPr>
          <w:rFonts w:ascii="Times New Roman" w:eastAsia="Calibri" w:hAnsi="Times New Roman" w:cs="Times New Roman"/>
          <w:sz w:val="28"/>
          <w:szCs w:val="28"/>
          <w:lang w:bidi="ar-IQ"/>
        </w:rPr>
      </w:pPr>
      <w:r w:rsidRPr="00C85AF5">
        <w:rPr>
          <w:rFonts w:ascii="Times New Roman" w:eastAsia="Calibri" w:hAnsi="Times New Roman" w:cs="Times New Roman"/>
          <w:b/>
          <w:bCs/>
          <w:sz w:val="28"/>
          <w:szCs w:val="28"/>
        </w:rPr>
        <w:t xml:space="preserve">Table 4.13. </w:t>
      </w:r>
      <w:r w:rsidRPr="00C85AF5">
        <w:rPr>
          <w:rFonts w:ascii="Times New Roman" w:eastAsia="Calibri" w:hAnsi="Times New Roman" w:cs="Times New Roman"/>
          <w:sz w:val="28"/>
          <w:szCs w:val="28"/>
        </w:rPr>
        <w:t>Paired Sample T Test between the mean of pre and</w:t>
      </w:r>
    </w:p>
    <w:p w:rsidR="00C85AF5" w:rsidRPr="00C85AF5" w:rsidRDefault="00C85AF5" w:rsidP="00C85AF5">
      <w:pPr>
        <w:bidi/>
        <w:spacing w:after="0" w:line="240" w:lineRule="auto"/>
        <w:ind w:right="-243"/>
        <w:jc w:val="center"/>
        <w:rPr>
          <w:rFonts w:ascii="Times New Roman" w:eastAsia="Calibri" w:hAnsi="Times New Roman" w:cs="Times New Roman"/>
          <w:sz w:val="28"/>
          <w:szCs w:val="28"/>
        </w:rPr>
      </w:pPr>
      <w:r w:rsidRPr="00C85AF5">
        <w:rPr>
          <w:rFonts w:ascii="Times New Roman" w:eastAsia="Calibri" w:hAnsi="Times New Roman" w:cs="Times New Roman"/>
          <w:sz w:val="28"/>
          <w:szCs w:val="28"/>
        </w:rPr>
        <w:t>post Malalignment degree from control group</w:t>
      </w:r>
    </w:p>
    <w:p w:rsidR="00C85AF5" w:rsidRPr="00C85AF5" w:rsidRDefault="00C85AF5" w:rsidP="00C85AF5">
      <w:pPr>
        <w:bidi/>
        <w:spacing w:after="0" w:line="240" w:lineRule="auto"/>
        <w:ind w:right="-243"/>
        <w:jc w:val="both"/>
        <w:rPr>
          <w:rFonts w:ascii="Times New Roman" w:eastAsia="Calibri" w:hAnsi="Times New Roman" w:cs="Times New Roman"/>
          <w:b/>
          <w:bCs/>
          <w:sz w:val="28"/>
          <w:szCs w:val="28"/>
        </w:rPr>
      </w:pPr>
    </w:p>
    <w:tbl>
      <w:tblPr>
        <w:tblW w:w="8641" w:type="dxa"/>
        <w:tblInd w:w="409" w:type="dxa"/>
        <w:tblLook w:val="04A0" w:firstRow="1" w:lastRow="0" w:firstColumn="1" w:lastColumn="0" w:noHBand="0" w:noVBand="1"/>
      </w:tblPr>
      <w:tblGrid>
        <w:gridCol w:w="2690"/>
        <w:gridCol w:w="630"/>
        <w:gridCol w:w="996"/>
        <w:gridCol w:w="1242"/>
        <w:gridCol w:w="1163"/>
        <w:gridCol w:w="960"/>
        <w:gridCol w:w="960"/>
      </w:tblGrid>
      <w:tr w:rsidR="00C85AF5" w:rsidRPr="00C85AF5" w:rsidTr="00631D4F">
        <w:trPr>
          <w:trHeight w:val="630"/>
        </w:trPr>
        <w:tc>
          <w:tcPr>
            <w:tcW w:w="3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Mean Difference</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Std. Deviation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p-value</w:t>
            </w:r>
          </w:p>
        </w:tc>
      </w:tr>
      <w:tr w:rsidR="00C85AF5" w:rsidRPr="00C85AF5" w:rsidTr="00631D4F">
        <w:trPr>
          <w:trHeight w:val="375"/>
        </w:trPr>
        <w:tc>
          <w:tcPr>
            <w:tcW w:w="2690" w:type="dxa"/>
            <w:vMerge w:val="restart"/>
            <w:tcBorders>
              <w:top w:val="nil"/>
              <w:left w:val="single" w:sz="4" w:space="0" w:color="auto"/>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Malalignment</w:t>
            </w: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Pre</w:t>
            </w:r>
          </w:p>
        </w:tc>
        <w:tc>
          <w:tcPr>
            <w:tcW w:w="996"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176.750</w:t>
            </w:r>
          </w:p>
        </w:tc>
        <w:tc>
          <w:tcPr>
            <w:tcW w:w="12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0.000</w:t>
            </w: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1.832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r w:rsidRPr="00C85AF5">
              <w:rPr>
                <w:rFonts w:ascii="Times New Roman" w:eastAsia="Times New Roman" w:hAnsi="Times New Roman" w:cs="Times New Roman"/>
                <w:sz w:val="24"/>
                <w:szCs w:val="24"/>
              </w:rPr>
              <w:t>1</w:t>
            </w:r>
          </w:p>
        </w:tc>
      </w:tr>
      <w:tr w:rsidR="00C85AF5" w:rsidRPr="00C85AF5" w:rsidTr="00631D4F">
        <w:trPr>
          <w:trHeight w:val="375"/>
        </w:trPr>
        <w:tc>
          <w:tcPr>
            <w:tcW w:w="269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630" w:type="dxa"/>
            <w:tcBorders>
              <w:top w:val="nil"/>
              <w:left w:val="nil"/>
              <w:bottom w:val="single" w:sz="4" w:space="0" w:color="auto"/>
              <w:right w:val="single" w:sz="4" w:space="0" w:color="auto"/>
            </w:tcBorders>
            <w:shd w:val="clear" w:color="auto" w:fill="auto"/>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Post</w:t>
            </w:r>
          </w:p>
        </w:tc>
        <w:tc>
          <w:tcPr>
            <w:tcW w:w="996"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176.750</w:t>
            </w:r>
          </w:p>
        </w:tc>
        <w:tc>
          <w:tcPr>
            <w:tcW w:w="1242" w:type="dxa"/>
            <w:vMerge/>
            <w:tcBorders>
              <w:top w:val="nil"/>
              <w:left w:val="single" w:sz="4" w:space="0" w:color="auto"/>
              <w:bottom w:val="single" w:sz="4" w:space="0" w:color="000000"/>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p>
        </w:tc>
        <w:tc>
          <w:tcPr>
            <w:tcW w:w="1163" w:type="dxa"/>
            <w:tcBorders>
              <w:top w:val="nil"/>
              <w:left w:val="nil"/>
              <w:bottom w:val="single" w:sz="4" w:space="0" w:color="auto"/>
              <w:right w:val="single" w:sz="4" w:space="0" w:color="auto"/>
            </w:tcBorders>
            <w:shd w:val="clear" w:color="auto" w:fill="auto"/>
            <w:noWrap/>
            <w:vAlign w:val="center"/>
            <w:hideMark/>
          </w:tcPr>
          <w:p w:rsidR="00C85AF5" w:rsidRPr="00C85AF5" w:rsidRDefault="00C85AF5" w:rsidP="00C85AF5">
            <w:pPr>
              <w:spacing w:after="0" w:line="240" w:lineRule="auto"/>
              <w:jc w:val="both"/>
              <w:rPr>
                <w:rFonts w:ascii="Times New Roman" w:eastAsia="Times New Roman" w:hAnsi="Times New Roman" w:cs="Times New Roman"/>
                <w:color w:val="000000"/>
                <w:sz w:val="24"/>
                <w:szCs w:val="24"/>
              </w:rPr>
            </w:pPr>
            <w:r w:rsidRPr="00C85AF5">
              <w:rPr>
                <w:rFonts w:ascii="Times New Roman" w:eastAsia="Times New Roman" w:hAnsi="Times New Roman" w:cs="Times New Roman"/>
                <w:color w:val="000000"/>
                <w:sz w:val="24"/>
                <w:szCs w:val="24"/>
              </w:rPr>
              <w:t>1.832</w:t>
            </w: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c>
          <w:tcPr>
            <w:tcW w:w="960" w:type="dxa"/>
            <w:vMerge/>
            <w:tcBorders>
              <w:top w:val="nil"/>
              <w:left w:val="single" w:sz="4" w:space="0" w:color="auto"/>
              <w:bottom w:val="single" w:sz="4" w:space="0" w:color="auto"/>
              <w:right w:val="single" w:sz="4" w:space="0" w:color="auto"/>
            </w:tcBorders>
            <w:vAlign w:val="center"/>
            <w:hideMark/>
          </w:tcPr>
          <w:p w:rsidR="00C85AF5" w:rsidRPr="00C85AF5" w:rsidRDefault="00C85AF5" w:rsidP="00C85AF5">
            <w:pPr>
              <w:spacing w:after="0" w:line="240" w:lineRule="auto"/>
              <w:jc w:val="both"/>
              <w:rPr>
                <w:rFonts w:ascii="Times New Roman" w:eastAsia="Times New Roman" w:hAnsi="Times New Roman" w:cs="Times New Roman"/>
                <w:sz w:val="24"/>
                <w:szCs w:val="24"/>
              </w:rPr>
            </w:pPr>
          </w:p>
        </w:tc>
      </w:tr>
    </w:tbl>
    <w:p w:rsidR="00C85AF5" w:rsidRPr="00C85AF5" w:rsidRDefault="00C85AF5" w:rsidP="00C85AF5">
      <w:pPr>
        <w:spacing w:after="0" w:line="360" w:lineRule="auto"/>
        <w:jc w:val="both"/>
        <w:rPr>
          <w:rFonts w:ascii="Times New Roman" w:eastAsia="Calibri" w:hAnsi="Times New Roman" w:cs="Times New Roman"/>
          <w:sz w:val="24"/>
          <w:szCs w:val="24"/>
        </w:rPr>
      </w:pPr>
    </w:p>
    <w:p w:rsidR="00C85AF5" w:rsidRPr="00C85AF5" w:rsidRDefault="00C85AF5" w:rsidP="00C85AF5">
      <w:pPr>
        <w:spacing w:after="0" w:line="360" w:lineRule="auto"/>
        <w:jc w:val="both"/>
        <w:rPr>
          <w:rFonts w:ascii="Times New Roman" w:eastAsia="Calibri" w:hAnsi="Times New Roman" w:cs="Times New Roman"/>
          <w:sz w:val="24"/>
          <w:szCs w:val="24"/>
        </w:rPr>
      </w:pPr>
    </w:p>
    <w:p w:rsidR="00C85AF5" w:rsidRPr="00C85AF5" w:rsidRDefault="00C85AF5" w:rsidP="00C85AF5">
      <w:pPr>
        <w:spacing w:after="200" w:line="360" w:lineRule="auto"/>
        <w:jc w:val="both"/>
        <w:rPr>
          <w:rFonts w:ascii="Times New Roman" w:eastAsia="Times New Roman" w:hAnsi="Times New Roman" w:cs="Times New Roman"/>
          <w:sz w:val="28"/>
          <w:szCs w:val="28"/>
        </w:rPr>
      </w:pPr>
    </w:p>
    <w:p w:rsidR="00C85AF5" w:rsidRPr="00C85AF5" w:rsidRDefault="00C85AF5" w:rsidP="00C85AF5">
      <w:pPr>
        <w:spacing w:after="200" w:line="276" w:lineRule="auto"/>
        <w:jc w:val="both"/>
        <w:rPr>
          <w:rFonts w:ascii="Times New Roman" w:eastAsia="Calibri" w:hAnsi="Times New Roman" w:cs="Times New Roman"/>
          <w:sz w:val="28"/>
          <w:szCs w:val="28"/>
          <w:lang w:bidi="ar-IQ"/>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spacing w:after="200" w:line="276" w:lineRule="auto"/>
        <w:jc w:val="both"/>
        <w:rPr>
          <w:rFonts w:ascii="Calibri" w:eastAsia="Calibri" w:hAnsi="Calibri" w:cs="Arial"/>
          <w:b/>
          <w:bCs/>
          <w:sz w:val="28"/>
          <w:szCs w:val="28"/>
          <w:highlight w:val="yellow"/>
        </w:rPr>
      </w:pPr>
    </w:p>
    <w:p w:rsidR="00C85AF5" w:rsidRPr="00C85AF5" w:rsidRDefault="00C85AF5" w:rsidP="00C85AF5">
      <w:pPr>
        <w:autoSpaceDE w:val="0"/>
        <w:autoSpaceDN w:val="0"/>
        <w:adjustRightInd w:val="0"/>
        <w:spacing w:after="0" w:line="240" w:lineRule="auto"/>
        <w:rPr>
          <w:rFonts w:ascii="Times New Roman" w:eastAsia="Calibri" w:hAnsi="Times New Roman" w:cs="Times New Roman"/>
          <w:color w:val="000000"/>
          <w:sz w:val="50"/>
          <w:szCs w:val="50"/>
        </w:rPr>
      </w:pPr>
    </w:p>
    <w:p w:rsidR="00C85AF5" w:rsidRDefault="00C85AF5"/>
    <w:p w:rsidR="00C85AF5" w:rsidRPr="00C85AF5" w:rsidRDefault="00C85AF5" w:rsidP="00C85AF5">
      <w:pPr>
        <w:spacing w:after="843" w:line="360" w:lineRule="auto"/>
        <w:ind w:left="14"/>
        <w:jc w:val="center"/>
        <w:rPr>
          <w:rFonts w:ascii="Times New Roman" w:eastAsia="Times New Roman" w:hAnsi="Times New Roman" w:cs="Times New Roman"/>
          <w:b/>
          <w:bCs/>
          <w:color w:val="000000"/>
          <w:kern w:val="2"/>
          <w:sz w:val="28"/>
          <w:szCs w:val="28"/>
          <w14:ligatures w14:val="standardContextual"/>
        </w:rPr>
      </w:pPr>
      <w:r w:rsidRPr="00C85AF5">
        <w:rPr>
          <w:rFonts w:ascii="Times New Roman" w:eastAsia="Times New Roman" w:hAnsi="Times New Roman" w:cs="Times New Roman"/>
          <w:b/>
          <w:bCs/>
          <w:color w:val="000000"/>
          <w:kern w:val="2"/>
          <w:sz w:val="28"/>
          <w:szCs w:val="28"/>
          <w14:ligatures w14:val="standardContextual"/>
        </w:rPr>
        <w:lastRenderedPageBreak/>
        <w:t>4.1. Discussion</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The aim of this study was to determine the effect of biomechanical intervention         on patients with knee joint osteoarthritis and compare with control group. The     study group shows more affected in reducing pain within the study period, which was six months of follow up of patients with knee osteoarthritis.</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 xml:space="preserve">This study shows that knee joint pain affects mainly older individuals,        particularly those aged 50 years and over. As individuals age, there is a natural decrease in the production of synovial fluid, crucial for lubricating joints and minimizing friction between bones. Additionally, aging increases the likelihood       of developing osteoarthritis, a degenerative joint disease where the protective cartilage that cushions bone ends gradually wears down, contributing to knee pain in older adults. This is in line with previous studies that have shown an increased prevalence of knee pain with advancing age (Nguyen et al., 2011). The higher percentage of female participants in this study is consistent with previous studies    that have reported a higher prevalence of knee pain in women than in men     (Srikanth et al., 2005), Women may have different biomechanics and movement patterns compared to men, which can affect joint loading and contribute to the development of osteoarthritis. Factors such as gait, joint laxity, and muscle     strength can influence the mechanical stresses on joints. The high percentage of obese patients in this study is also consistent with previous studies that have       shown a strong association between obesity and knee pain (Hayashi et al., 2012). This is likely due to the increased load placed on the knee joint in individuals who are overweight or obese, which can lead to the development of knee OA and subsequent knee pain (Blagojevic et al., 2010). The majority of patients in this    study were housewives, which may be due to the fact that they are more likely to engage in activities that require prolonged standing and walking, such as     household chores (Nguyen et al., 2011). This </w:t>
      </w:r>
      <w:r w:rsidRPr="00C85AF5">
        <w:rPr>
          <w:rFonts w:ascii="Times New Roman" w:eastAsia="Times New Roman" w:hAnsi="Times New Roman" w:cs="Times New Roman"/>
          <w:color w:val="000000"/>
          <w:kern w:val="2"/>
          <w:sz w:val="28"/>
          <w:szCs w:val="28"/>
          <w14:ligatures w14:val="standardContextual"/>
        </w:rPr>
        <w:lastRenderedPageBreak/>
        <w:t>may also explain the higher percentage of patients with grade 2 of OA, as housewives may be more likely to delay seeking medical attention until their symptoms become more severe. The high percentage of patients with varus malalignment is consistent with previous studies that have shown varus malalignment to be a risk factor for the development and progression of knee OA (Naderi et al., 2014). This highlights the importance of assessing malalignment in patients with knee pain, as it may guide treatment decisions and improve outcomes.</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The results present a comparison of descriptive statistics for pre and post treatment pain scores between the study and control groups. In terms of pre-treatment pain scores, the study group had 5% with moderate pain and 45% with severe pain, while the control group had 15% with moderate pain and 35% with severe pain. Looking at post-treatment pain scores, the study group showed 5% with no pain, 35% with mild pain, and 10% with moderate pain. In contrast, the control group had 2.5% with no pain, 20% with mild pain, 12.5% with moderate pain, and 15% with severe pain. Comparing post-treatment pain scores, both groups had a small percentage with no pain, but the study group had a higher proportion with mild pain (35% vs. 20% ). Moderate pain distribution was similar. Notably, no patients in the study group reported severe pain, while 15% in the control group did.</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 xml:space="preserve">The use of lateral wedge on shoes is a common intervention for patients with knee osteoarthritis (OA). These wedges (which was of 1cm height) are designed to tilt the foot slightly, with the thicker side of the wedge on the lateral </w:t>
      </w:r>
      <w:r w:rsidRPr="00C85AF5">
        <w:rPr>
          <w:rFonts w:ascii="Times New Roman" w:eastAsia="Times New Roman" w:hAnsi="Times New Roman" w:cs="Times New Roman"/>
          <w:color w:val="000000"/>
          <w:kern w:val="2"/>
          <w:sz w:val="28"/>
          <w:szCs w:val="28"/>
          <w14:ligatures w14:val="standardContextual"/>
        </w:rPr>
        <w:lastRenderedPageBreak/>
        <w:t>(outer) edge of the sole (Rafiaee and Karimi, 2012). One of the leading causes of effectiveness of the lateral wedge is related to the reduction in knee adduction moment, this is the force that tends to push the knee inward (toward the other knee) when walking. High knee adduction moments are associated with increased joint loading and greater pain in knee OA. Lateral wedges are thought to reduce this moment by altering the alignment of the lower limb,</w:t>
      </w:r>
      <w:r w:rsidRPr="00C85AF5">
        <w:rPr>
          <w:rFonts w:asciiTheme="majorBidi" w:eastAsia="Times New Roman" w:hAnsiTheme="majorBidi" w:cstheme="majorBidi"/>
          <w:color w:val="FF0000"/>
          <w:kern w:val="2"/>
          <w:sz w:val="28"/>
          <w:szCs w:val="28"/>
          <w14:ligatures w14:val="standardContextual"/>
        </w:rPr>
        <w:t xml:space="preserve"> </w:t>
      </w:r>
      <w:r w:rsidRPr="00C85AF5">
        <w:rPr>
          <w:rFonts w:asciiTheme="majorBidi" w:eastAsia="Times New Roman" w:hAnsiTheme="majorBidi" w:cstheme="majorBidi"/>
          <w:kern w:val="2"/>
          <w:sz w:val="28"/>
          <w:szCs w:val="28"/>
          <w14:ligatures w14:val="standardContextual"/>
        </w:rPr>
        <w:t>and change the action line of the ground reaction force passing through the knee joint</w:t>
      </w:r>
      <w:r w:rsidRPr="00C85AF5">
        <w:rPr>
          <w:rFonts w:ascii="Times New Roman" w:eastAsia="Times New Roman" w:hAnsi="Times New Roman" w:cs="Times New Roman"/>
          <w:color w:val="000000"/>
          <w:kern w:val="2"/>
          <w:sz w:val="28"/>
          <w:szCs w:val="28"/>
          <w14:ligatures w14:val="standardContextual"/>
        </w:rPr>
        <w:t xml:space="preserve"> which may help decrease pain (Ferreira et al., 2019). </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noProof/>
          <w:color w:val="000000"/>
          <w:kern w:val="2"/>
          <w:sz w:val="28"/>
          <w:szCs w:val="28"/>
        </w:rPr>
        <w:t xml:space="preserve">  </w:t>
      </w:r>
    </w:p>
    <w:p w:rsidR="00C85AF5" w:rsidRPr="00C85AF5" w:rsidRDefault="00C85AF5" w:rsidP="00C85AF5">
      <w:pPr>
        <w:tabs>
          <w:tab w:val="left" w:pos="7605"/>
        </w:tabs>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noProof/>
          <w:color w:val="000000"/>
          <w:kern w:val="2"/>
          <w:sz w:val="28"/>
          <w:szCs w:val="28"/>
        </w:rPr>
        <w:t xml:space="preserve">                     </w:t>
      </w:r>
      <w:r w:rsidRPr="00C85AF5">
        <w:rPr>
          <w:rFonts w:ascii="Times New Roman" w:eastAsia="Times New Roman" w:hAnsi="Times New Roman" w:cs="Times New Roman"/>
          <w:color w:val="000000"/>
          <w:kern w:val="2"/>
          <w:sz w:val="28"/>
          <w:szCs w:val="28"/>
          <w14:ligatures w14:val="standardContextual"/>
        </w:rPr>
        <w:tab/>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 xml:space="preserve">In our study, according to WOMAC pain score for each of the activities (Walking, Stair Climbing, Nocturnal, Rest, and Weight Bearing) and WOMAC physical functions. there were a statistically significant difference between the mean pre and post treatment pain scores in the study and control groups. The p-values for all activities were less than the significance level of o=0.05, (except lying in bed in control group), but the mean difference of all variables in the study group is more than the mean difference in the control group. The improvements in physical functioning for patients with knee osteoarthritis, may include increased walking speed and a reduction in knee adduction angle. Also it can lead to reductions in biomechanical factors associated with knee osteoarthritis, these factors include medial knee-joint-space load, adduction moment, and varus malalignment (Bennell et al., 2011, Huang et al., 2022). </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In this study, results based on VAS showed that significantly decreased knee joint pain in the study and control groups, but in the study group the average of overall post treatment pain score (1.10) is lower than the average of pre-treatment pain score (2.9) and the mean difference is (1.8). In the control group the average of overall post treatment pain score (1.80) is lower than the average of pre-treatment pain score (2.7) and the mean difference is (0.9).</w:t>
      </w:r>
    </w:p>
    <w:p w:rsidR="00C85AF5" w:rsidRPr="00C85AF5" w:rsidRDefault="00C85AF5" w:rsidP="00C85AF5">
      <w:pPr>
        <w:spacing w:after="148" w:line="360" w:lineRule="auto"/>
        <w:ind w:left="4" w:right="-5"/>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lastRenderedPageBreak/>
        <w:t xml:space="preserve"> These results shows that the study group experienced a significant change in malalignment degree after the intervention, as evidenced by the lower p-value and the direction of the mean difference. However, there was no statistically significant change in malalignment degree in the control group. These findings suggest that the intervention had an effect on malalignment in the study group but not in the control group, emphasizing the potential effectiveness of the treatment or intervention (Yilmaz et al., 2016)(Fig 4.1.1, A,B).</w:t>
      </w:r>
    </w:p>
    <w:p w:rsidR="00C85AF5" w:rsidRPr="00C85AF5" w:rsidRDefault="00C85AF5" w:rsidP="00C85AF5">
      <w:pPr>
        <w:spacing w:after="148" w:line="360" w:lineRule="auto"/>
        <w:ind w:left="4" w:right="-5"/>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Lateral wedges can help align the lower limb in a way that reduces the strain on the medial (inner) compartment of the knee, which is often affected by OA. By shifting the load away from the damaged part of the knee, patients may experience less pain. Also, lateral wedges are believed to redistribute the load on the knee joint. reducing the pressure on the medial compartment. This can potentially decrease the wear and tear on the joint cartilage, which is a hallmark of knee OA(Yilmaz et al.. 2016).</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 xml:space="preserve">            </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 xml:space="preserve">                                                                                              </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tabs>
          <w:tab w:val="left" w:pos="2430"/>
        </w:tabs>
        <w:spacing w:after="148" w:line="360" w:lineRule="auto"/>
        <w:ind w:right="-5"/>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tabs>
          <w:tab w:val="left" w:pos="240"/>
          <w:tab w:val="left" w:pos="660"/>
          <w:tab w:val="left" w:pos="870"/>
          <w:tab w:val="right" w:pos="9365"/>
        </w:tabs>
        <w:spacing w:after="148" w:line="360" w:lineRule="auto"/>
        <w:ind w:right="-5"/>
        <w:jc w:val="center"/>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noProof/>
          <w:color w:val="000000"/>
          <w:kern w:val="2"/>
          <w:sz w:val="28"/>
          <w:szCs w:val="28"/>
        </w:rPr>
        <w:lastRenderedPageBreak/>
        <w:drawing>
          <wp:inline distT="0" distB="0" distL="0" distR="0" wp14:anchorId="6518C3AB" wp14:editId="0217723B">
            <wp:extent cx="1690370" cy="7115175"/>
            <wp:effectExtent l="0" t="0" r="508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jpg"/>
                    <pic:cNvPicPr/>
                  </pic:nvPicPr>
                  <pic:blipFill>
                    <a:blip r:embed="rId23">
                      <a:extLst>
                        <a:ext uri="{28A0092B-C50C-407E-A947-70E740481C1C}">
                          <a14:useLocalDpi xmlns:a14="http://schemas.microsoft.com/office/drawing/2010/main" val="0"/>
                        </a:ext>
                      </a:extLst>
                    </a:blip>
                    <a:stretch>
                      <a:fillRect/>
                    </a:stretch>
                  </pic:blipFill>
                  <pic:spPr>
                    <a:xfrm>
                      <a:off x="0" y="0"/>
                      <a:ext cx="1690370" cy="7115175"/>
                    </a:xfrm>
                    <a:prstGeom prst="rect">
                      <a:avLst/>
                    </a:prstGeom>
                  </pic:spPr>
                </pic:pic>
              </a:graphicData>
            </a:graphic>
          </wp:inline>
        </w:drawing>
      </w:r>
      <w:r w:rsidRPr="00C85AF5">
        <w:rPr>
          <w:rFonts w:ascii="Times New Roman" w:eastAsia="Times New Roman" w:hAnsi="Times New Roman" w:cs="Times New Roman"/>
          <w:noProof/>
          <w:color w:val="000000"/>
          <w:kern w:val="2"/>
          <w:sz w:val="28"/>
          <w:szCs w:val="28"/>
        </w:rPr>
        <w:drawing>
          <wp:inline distT="0" distB="0" distL="0" distR="0" wp14:anchorId="5886059E" wp14:editId="2892637B">
            <wp:extent cx="1638300" cy="7124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24">
                      <a:extLst>
                        <a:ext uri="{28A0092B-C50C-407E-A947-70E740481C1C}">
                          <a14:useLocalDpi xmlns:a14="http://schemas.microsoft.com/office/drawing/2010/main" val="0"/>
                        </a:ext>
                      </a:extLst>
                    </a:blip>
                    <a:stretch>
                      <a:fillRect/>
                    </a:stretch>
                  </pic:blipFill>
                  <pic:spPr>
                    <a:xfrm>
                      <a:off x="0" y="0"/>
                      <a:ext cx="1645819" cy="7157399"/>
                    </a:xfrm>
                    <a:prstGeom prst="rect">
                      <a:avLst/>
                    </a:prstGeom>
                  </pic:spPr>
                </pic:pic>
              </a:graphicData>
            </a:graphic>
          </wp:inline>
        </w:drawing>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4"/>
          <w:szCs w:val="24"/>
          <w14:ligatures w14:val="standardContextual"/>
        </w:rPr>
      </w:pPr>
      <w:r w:rsidRPr="00C85AF5">
        <w:rPr>
          <w:rFonts w:ascii="Times New Roman" w:eastAsia="Times New Roman" w:hAnsi="Times New Roman" w:cs="Times New Roman"/>
          <w:color w:val="000000"/>
          <w:kern w:val="2"/>
          <w:sz w:val="24"/>
          <w:szCs w:val="24"/>
          <w14:ligatures w14:val="standardContextual"/>
        </w:rPr>
        <w:t xml:space="preserve">                           A: before using lateral wedge        B; after using lateral wedge</w:t>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4"/>
          <w:szCs w:val="24"/>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 xml:space="preserve">It's important to note that while many studies have shown positive effects of improving the knee alignment in reducing pain in some individuals with knee OA, the effectiveness can vary from person to person. Not all patients with knee </w:t>
      </w:r>
      <w:r w:rsidRPr="00C85AF5">
        <w:rPr>
          <w:rFonts w:ascii="Times New Roman" w:eastAsia="Times New Roman" w:hAnsi="Times New Roman" w:cs="Times New Roman"/>
          <w:color w:val="000000"/>
          <w:kern w:val="2"/>
          <w:sz w:val="28"/>
          <w:szCs w:val="28"/>
          <w14:ligatures w14:val="standardContextual"/>
        </w:rPr>
        <w:lastRenderedPageBreak/>
        <w:t>OA will experience the same degree of pain relief with this intervention. Before using lateral wedges or any treatment for knee OA, patients should consult with a healthcare professional or orthopedic specialist. Treatment plans should be personalized based on the patient's specific condition and needs. Additionally, the use of lateral wedges is just one component of a comprehensive approach to managing knee OA, which may also include exercises, physical therapy, pain medications, and lifestyle modifications (Parkser et al., 2018).</w:t>
      </w:r>
    </w:p>
    <w:p w:rsidR="00C85AF5" w:rsidRPr="00C85AF5" w:rsidRDefault="00C85AF5" w:rsidP="00C85AF5">
      <w:pPr>
        <w:spacing w:after="148" w:line="360" w:lineRule="auto"/>
        <w:ind w:left="4" w:right="-5" w:firstLine="4"/>
        <w:jc w:val="both"/>
        <w:rPr>
          <w:rFonts w:eastAsia="Times New Roman" w:cstheme="minorHAnsi"/>
          <w:color w:val="000000"/>
          <w:kern w:val="2"/>
          <w14:ligatures w14:val="standardContextual"/>
        </w:rPr>
      </w:pPr>
    </w:p>
    <w:p w:rsidR="00C85AF5" w:rsidRPr="00C85AF5" w:rsidRDefault="00C85AF5" w:rsidP="00C85AF5">
      <w:pPr>
        <w:spacing w:after="148" w:line="360" w:lineRule="auto"/>
        <w:ind w:left="4" w:right="-5" w:firstLine="4"/>
        <w:jc w:val="both"/>
        <w:rPr>
          <w:rFonts w:eastAsia="Times New Roman" w:cstheme="minorHAnsi"/>
          <w:color w:val="000000"/>
          <w:kern w:val="2"/>
          <w14:ligatures w14:val="standardContextual"/>
        </w:rPr>
      </w:pPr>
    </w:p>
    <w:p w:rsidR="00C85AF5" w:rsidRPr="00C85AF5" w:rsidRDefault="00C85AF5" w:rsidP="00C85AF5">
      <w:pPr>
        <w:spacing w:after="148" w:line="360" w:lineRule="auto"/>
        <w:ind w:left="4" w:right="-5" w:firstLine="4"/>
        <w:jc w:val="both"/>
        <w:rPr>
          <w:rFonts w:eastAsia="Times New Roman" w:cstheme="minorHAnsi"/>
          <w:color w:val="000000"/>
          <w:kern w:val="2"/>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r w:rsidRPr="00C85AF5">
        <w:rPr>
          <w:rFonts w:ascii="Times New Roman" w:eastAsia="Times New Roman" w:hAnsi="Times New Roman" w:cs="Times New Roman"/>
          <w:color w:val="000000"/>
          <w:kern w:val="2"/>
          <w:sz w:val="28"/>
          <w:szCs w:val="28"/>
          <w14:ligatures w14:val="standardContextual"/>
        </w:rPr>
        <w:t xml:space="preserve">                       </w:t>
      </w:r>
      <w:r w:rsidRPr="00C85AF5">
        <w:rPr>
          <w:rFonts w:ascii="Times New Roman" w:eastAsia="Times New Roman" w:hAnsi="Times New Roman" w:cs="Times New Roman"/>
          <w:color w:val="000000"/>
          <w:kern w:val="2"/>
          <w:sz w:val="28"/>
          <w:szCs w:val="28"/>
          <w14:ligatures w14:val="standardContextual"/>
        </w:rPr>
        <w:br w:type="textWrapping" w:clear="all"/>
      </w: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C85AF5" w:rsidRPr="00C85AF5" w:rsidRDefault="00C85AF5" w:rsidP="00C85AF5">
      <w:pPr>
        <w:spacing w:after="148" w:line="360" w:lineRule="auto"/>
        <w:ind w:left="4" w:right="-5" w:firstLine="4"/>
        <w:jc w:val="both"/>
        <w:rPr>
          <w:rFonts w:ascii="Times New Roman" w:eastAsia="Times New Roman" w:hAnsi="Times New Roman" w:cs="Times New Roman"/>
          <w:color w:val="000000"/>
          <w:kern w:val="2"/>
          <w:sz w:val="28"/>
          <w:szCs w:val="28"/>
          <w14:ligatures w14:val="standardContextual"/>
        </w:rPr>
      </w:pPr>
    </w:p>
    <w:p w:rsidR="004978F9" w:rsidRDefault="004978F9"/>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rsidP="00C85AF5">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 xml:space="preserve">5. </w:t>
      </w:r>
      <w:r w:rsidRPr="00DF1935">
        <w:rPr>
          <w:rFonts w:asciiTheme="majorBidi" w:hAnsiTheme="majorBidi" w:cstheme="majorBidi"/>
          <w:b/>
          <w:bCs/>
          <w:sz w:val="28"/>
          <w:szCs w:val="28"/>
        </w:rPr>
        <w:t>Conclusion and Recommendation</w:t>
      </w:r>
    </w:p>
    <w:p w:rsidR="00C85AF5" w:rsidRDefault="00C85AF5" w:rsidP="00C85AF5">
      <w:pPr>
        <w:spacing w:after="0" w:line="360" w:lineRule="auto"/>
        <w:ind w:right="180"/>
        <w:rPr>
          <w:rFonts w:asciiTheme="majorBidi" w:hAnsiTheme="majorBidi" w:cstheme="majorBidi"/>
          <w:b/>
          <w:bCs/>
          <w:sz w:val="28"/>
          <w:szCs w:val="28"/>
        </w:rPr>
      </w:pPr>
    </w:p>
    <w:p w:rsidR="00C85AF5" w:rsidRDefault="00C85AF5" w:rsidP="00C85AF5">
      <w:pPr>
        <w:spacing w:after="0" w:line="360" w:lineRule="auto"/>
        <w:ind w:right="180"/>
        <w:rPr>
          <w:rFonts w:asciiTheme="majorBidi" w:hAnsiTheme="majorBidi" w:cstheme="majorBidi"/>
          <w:b/>
          <w:bCs/>
          <w:sz w:val="28"/>
          <w:szCs w:val="28"/>
        </w:rPr>
      </w:pPr>
      <w:r>
        <w:rPr>
          <w:rFonts w:asciiTheme="majorBidi" w:hAnsiTheme="majorBidi" w:cstheme="majorBidi"/>
          <w:b/>
          <w:bCs/>
          <w:sz w:val="28"/>
          <w:szCs w:val="28"/>
        </w:rPr>
        <w:t>5.1. Conclusion</w:t>
      </w:r>
    </w:p>
    <w:p w:rsidR="00C85AF5" w:rsidRDefault="00C85AF5" w:rsidP="00C85AF5">
      <w:pPr>
        <w:spacing w:line="360" w:lineRule="auto"/>
        <w:jc w:val="both"/>
        <w:rPr>
          <w:rFonts w:asciiTheme="majorBidi" w:hAnsiTheme="majorBidi" w:cstheme="majorBidi"/>
          <w:sz w:val="28"/>
          <w:szCs w:val="28"/>
        </w:rPr>
      </w:pPr>
      <w:r w:rsidRPr="00DF1935">
        <w:rPr>
          <w:rFonts w:asciiTheme="majorBidi" w:hAnsiTheme="majorBidi" w:cstheme="majorBidi"/>
          <w:sz w:val="28"/>
          <w:szCs w:val="28"/>
        </w:rPr>
        <w:t xml:space="preserve">According to the results, the study group was used the lateral wedge outsole as a biomechanical intervention to realign the weight bearing line going through the knee joint, had a positive effect on decreasing pain levels and improving physical functions more than the control group. </w:t>
      </w:r>
      <w:r>
        <w:rPr>
          <w:rFonts w:asciiTheme="majorBidi" w:hAnsiTheme="majorBidi" w:cstheme="majorBidi"/>
          <w:sz w:val="28"/>
          <w:szCs w:val="28"/>
        </w:rPr>
        <w:t>It also delays the need for a surgical intervention</w:t>
      </w:r>
    </w:p>
    <w:p w:rsidR="00C85AF5" w:rsidRDefault="00C85AF5" w:rsidP="00C85AF5">
      <w:pPr>
        <w:spacing w:line="360" w:lineRule="auto"/>
        <w:rPr>
          <w:rFonts w:asciiTheme="majorBidi" w:hAnsiTheme="majorBidi" w:cstheme="majorBidi"/>
          <w:sz w:val="28"/>
          <w:szCs w:val="28"/>
        </w:rPr>
      </w:pPr>
    </w:p>
    <w:p w:rsidR="00C85AF5" w:rsidRPr="007722F4" w:rsidRDefault="00C85AF5" w:rsidP="00C85AF5">
      <w:pPr>
        <w:spacing w:line="360" w:lineRule="auto"/>
        <w:rPr>
          <w:rFonts w:asciiTheme="majorBidi" w:hAnsiTheme="majorBidi" w:cstheme="majorBidi"/>
          <w:b/>
          <w:bCs/>
          <w:sz w:val="28"/>
          <w:szCs w:val="28"/>
        </w:rPr>
      </w:pPr>
      <w:r>
        <w:rPr>
          <w:rFonts w:asciiTheme="majorBidi" w:hAnsiTheme="majorBidi" w:cstheme="majorBidi"/>
          <w:b/>
          <w:bCs/>
          <w:sz w:val="28"/>
          <w:szCs w:val="28"/>
        </w:rPr>
        <w:t>5.2.</w:t>
      </w:r>
      <w:r w:rsidRPr="007722F4">
        <w:rPr>
          <w:rFonts w:asciiTheme="majorBidi" w:hAnsiTheme="majorBidi" w:cstheme="majorBidi"/>
          <w:b/>
          <w:bCs/>
          <w:sz w:val="28"/>
          <w:szCs w:val="28"/>
        </w:rPr>
        <w:t xml:space="preserve"> Recommendations</w:t>
      </w:r>
      <w:r>
        <w:rPr>
          <w:rFonts w:asciiTheme="majorBidi" w:hAnsiTheme="majorBidi" w:cstheme="majorBidi"/>
          <w:b/>
          <w:bCs/>
          <w:sz w:val="28"/>
          <w:szCs w:val="28"/>
        </w:rPr>
        <w:t xml:space="preserve"> for future works</w:t>
      </w:r>
    </w:p>
    <w:p w:rsidR="00C85AF5" w:rsidRDefault="00C85AF5" w:rsidP="00C85AF5">
      <w:pPr>
        <w:spacing w:line="360" w:lineRule="auto"/>
        <w:rPr>
          <w:rFonts w:asciiTheme="majorBidi" w:hAnsiTheme="majorBidi" w:cstheme="majorBidi"/>
          <w:sz w:val="28"/>
          <w:szCs w:val="28"/>
        </w:rPr>
      </w:pPr>
      <w:r w:rsidRPr="005D4F74">
        <w:rPr>
          <w:rFonts w:asciiTheme="majorBidi" w:hAnsiTheme="majorBidi" w:cstheme="majorBidi"/>
          <w:b/>
          <w:bCs/>
          <w:sz w:val="28"/>
          <w:szCs w:val="28"/>
        </w:rPr>
        <w:t>1.</w:t>
      </w:r>
      <w:r>
        <w:rPr>
          <w:rFonts w:asciiTheme="majorBidi" w:hAnsiTheme="majorBidi" w:cstheme="majorBidi"/>
          <w:sz w:val="28"/>
          <w:szCs w:val="28"/>
        </w:rPr>
        <w:t xml:space="preserve"> </w:t>
      </w:r>
      <w:r w:rsidRPr="00DF1935">
        <w:rPr>
          <w:rFonts w:asciiTheme="majorBidi" w:hAnsiTheme="majorBidi" w:cstheme="majorBidi"/>
          <w:sz w:val="28"/>
          <w:szCs w:val="28"/>
        </w:rPr>
        <w:t>We recommend further studies on the effect of the foot wear itself on the OA conditions to be conducted.</w:t>
      </w:r>
    </w:p>
    <w:p w:rsidR="00C85AF5" w:rsidRPr="00C23191" w:rsidRDefault="00C85AF5" w:rsidP="00C85AF5">
      <w:pPr>
        <w:spacing w:line="360" w:lineRule="auto"/>
        <w:rPr>
          <w:rFonts w:asciiTheme="majorBidi" w:hAnsiTheme="majorBidi" w:cstheme="majorBidi"/>
          <w:sz w:val="28"/>
          <w:szCs w:val="28"/>
        </w:rPr>
      </w:pPr>
      <w:r w:rsidRPr="005D4F74">
        <w:rPr>
          <w:rFonts w:asciiTheme="majorBidi" w:hAnsiTheme="majorBidi" w:cstheme="majorBidi"/>
          <w:b/>
          <w:bCs/>
          <w:sz w:val="28"/>
          <w:szCs w:val="28"/>
        </w:rPr>
        <w:t>2.</w:t>
      </w:r>
      <w:r>
        <w:rPr>
          <w:rFonts w:asciiTheme="majorBidi" w:hAnsiTheme="majorBidi" w:cstheme="majorBidi"/>
          <w:sz w:val="28"/>
          <w:szCs w:val="28"/>
        </w:rPr>
        <w:t xml:space="preserve"> We recommend further studies to decide the most suitable height to be used as   lateral wedge outsole to realign the knee joint malalignment.</w:t>
      </w:r>
    </w:p>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C85AF5" w:rsidRDefault="00C85AF5"/>
    <w:p w:rsidR="007E6443" w:rsidRPr="007E6443" w:rsidRDefault="007E6443" w:rsidP="007E6443">
      <w:pPr>
        <w:spacing w:line="360" w:lineRule="auto"/>
        <w:jc w:val="center"/>
        <w:rPr>
          <w:rFonts w:ascii="Unikurd Diyako" w:eastAsia="Calibri" w:hAnsi="Unikurd Diyako" w:cs="Unikurd Diyako"/>
          <w:b/>
          <w:bCs/>
          <w:sz w:val="32"/>
          <w:szCs w:val="32"/>
          <w:rtl/>
        </w:rPr>
      </w:pPr>
      <w:r w:rsidRPr="007E6443">
        <w:rPr>
          <w:rFonts w:ascii="Unikurd Diyako" w:eastAsia="Calibri" w:hAnsi="Unikurd Diyako" w:cs="Unikurd Diyako"/>
          <w:noProof/>
          <w:sz w:val="28"/>
          <w:szCs w:val="28"/>
        </w:rPr>
        <w:lastRenderedPageBreak/>
        <w:drawing>
          <wp:inline distT="0" distB="0" distL="0" distR="0" wp14:anchorId="4014CED1" wp14:editId="794F06DB">
            <wp:extent cx="2965407" cy="850830"/>
            <wp:effectExtent l="0" t="0" r="0" b="0"/>
            <wp:docPr id="27" name="image11.png" descr="G:\epu logo new text final.jpg"/>
            <wp:cNvGraphicFramePr/>
            <a:graphic xmlns:a="http://schemas.openxmlformats.org/drawingml/2006/main">
              <a:graphicData uri="http://schemas.openxmlformats.org/drawingml/2006/picture">
                <pic:pic xmlns:pic="http://schemas.openxmlformats.org/drawingml/2006/picture">
                  <pic:nvPicPr>
                    <pic:cNvPr id="0" name="image11.png" descr="G:\epu logo new text final.jpg"/>
                    <pic:cNvPicPr preferRelativeResize="0"/>
                  </pic:nvPicPr>
                  <pic:blipFill>
                    <a:blip r:embed="rId25"/>
                    <a:srcRect/>
                    <a:stretch>
                      <a:fillRect/>
                    </a:stretch>
                  </pic:blipFill>
                  <pic:spPr>
                    <a:xfrm>
                      <a:off x="0" y="0"/>
                      <a:ext cx="2965407" cy="850830"/>
                    </a:xfrm>
                    <a:prstGeom prst="rect">
                      <a:avLst/>
                    </a:prstGeom>
                    <a:ln/>
                  </pic:spPr>
                </pic:pic>
              </a:graphicData>
            </a:graphic>
          </wp:inline>
        </w:drawing>
      </w:r>
    </w:p>
    <w:p w:rsidR="007E6443" w:rsidRPr="007E6443" w:rsidRDefault="007E6443" w:rsidP="007E6443">
      <w:pPr>
        <w:spacing w:line="360" w:lineRule="auto"/>
        <w:jc w:val="center"/>
        <w:rPr>
          <w:rFonts w:ascii="Unikurd Diyako" w:eastAsia="Calibri" w:hAnsi="Unikurd Diyako" w:cs="Unikurd Diyako"/>
          <w:b/>
          <w:bCs/>
          <w:sz w:val="28"/>
          <w:szCs w:val="28"/>
          <w:rtl/>
        </w:rPr>
      </w:pPr>
    </w:p>
    <w:p w:rsidR="007E6443" w:rsidRPr="007E6443" w:rsidRDefault="007E6443" w:rsidP="007E6443">
      <w:pPr>
        <w:spacing w:line="360" w:lineRule="auto"/>
        <w:jc w:val="center"/>
        <w:rPr>
          <w:rFonts w:ascii="Unikurd Diyako" w:eastAsia="Calibri" w:hAnsi="Unikurd Diyako" w:cs="Unikurd Diyako"/>
          <w:b/>
          <w:bCs/>
          <w:sz w:val="32"/>
          <w:szCs w:val="32"/>
          <w:rtl/>
        </w:rPr>
      </w:pPr>
      <w:r w:rsidRPr="007E6443">
        <w:rPr>
          <w:rFonts w:ascii="Unikurd Diyako" w:eastAsia="Calibri" w:hAnsi="Unikurd Diyako" w:cs="Unikurd Diyako" w:hint="cs"/>
          <w:b/>
          <w:bCs/>
          <w:sz w:val="32"/>
          <w:szCs w:val="32"/>
          <w:rtl/>
        </w:rPr>
        <w:t>ڕۆڵی</w:t>
      </w:r>
      <w:r w:rsidRPr="007E6443">
        <w:rPr>
          <w:rFonts w:ascii="Unikurd Diyako" w:eastAsia="Calibri" w:hAnsi="Unikurd Diyako" w:cs="Unikurd Diyako"/>
          <w:b/>
          <w:bCs/>
          <w:sz w:val="32"/>
          <w:szCs w:val="32"/>
          <w:rtl/>
        </w:rPr>
        <w:t xml:space="preserve"> </w:t>
      </w:r>
      <w:r w:rsidRPr="007E6443">
        <w:rPr>
          <w:rFonts w:ascii="Unikurd Diyako" w:eastAsia="Calibri" w:hAnsi="Unikurd Diyako" w:cs="Unikurd Diyako" w:hint="cs"/>
          <w:b/>
          <w:bCs/>
          <w:sz w:val="32"/>
          <w:szCs w:val="32"/>
          <w:rtl/>
        </w:rPr>
        <w:t>ڕێ</w:t>
      </w:r>
      <w:r w:rsidRPr="007E6443">
        <w:rPr>
          <w:rFonts w:ascii="Unikurd Diyako" w:eastAsia="Calibri" w:hAnsi="Unikurd Diyako" w:cs="Unikurd Diyako" w:hint="eastAsia"/>
          <w:b/>
          <w:bCs/>
          <w:sz w:val="32"/>
          <w:szCs w:val="32"/>
          <w:rtl/>
        </w:rPr>
        <w:t>کخستن</w:t>
      </w:r>
      <w:r w:rsidRPr="007E6443">
        <w:rPr>
          <w:rFonts w:ascii="Unikurd Diyako" w:eastAsia="Calibri" w:hAnsi="Unikurd Diyako" w:cs="Unikurd Diyako" w:hint="cs"/>
          <w:b/>
          <w:bCs/>
          <w:sz w:val="32"/>
          <w:szCs w:val="32"/>
          <w:rtl/>
        </w:rPr>
        <w:t>ی</w:t>
      </w:r>
      <w:r w:rsidRPr="007E6443">
        <w:rPr>
          <w:rFonts w:ascii="Unikurd Diyako" w:eastAsia="Calibri" w:hAnsi="Unikurd Diyako" w:cs="Unikurd Diyako"/>
          <w:b/>
          <w:bCs/>
          <w:sz w:val="32"/>
          <w:szCs w:val="32"/>
          <w:rtl/>
        </w:rPr>
        <w:t xml:space="preserve"> با</w:t>
      </w:r>
      <w:r w:rsidRPr="007E6443">
        <w:rPr>
          <w:rFonts w:ascii="Unikurd Diyako" w:eastAsia="Calibri" w:hAnsi="Unikurd Diyako" w:cs="Unikurd Diyako" w:hint="cs"/>
          <w:b/>
          <w:bCs/>
          <w:sz w:val="32"/>
          <w:szCs w:val="32"/>
          <w:rtl/>
        </w:rPr>
        <w:t>یۆ</w:t>
      </w:r>
      <w:r w:rsidRPr="007E6443">
        <w:rPr>
          <w:rFonts w:ascii="Unikurd Diyako" w:eastAsia="Calibri" w:hAnsi="Unikurd Diyako" w:cs="Unikurd Diyako" w:hint="eastAsia"/>
          <w:b/>
          <w:bCs/>
          <w:sz w:val="32"/>
          <w:szCs w:val="32"/>
          <w:rtl/>
        </w:rPr>
        <w:t>م</w:t>
      </w:r>
      <w:r w:rsidRPr="007E6443">
        <w:rPr>
          <w:rFonts w:ascii="Unikurd Diyako" w:eastAsia="Calibri" w:hAnsi="Unikurd Diyako" w:cs="Unikurd Diyako" w:hint="cs"/>
          <w:b/>
          <w:bCs/>
          <w:sz w:val="32"/>
          <w:szCs w:val="32"/>
          <w:rtl/>
        </w:rPr>
        <w:t>ی</w:t>
      </w:r>
      <w:r w:rsidRPr="007E6443">
        <w:rPr>
          <w:rFonts w:ascii="Unikurd Diyako" w:eastAsia="Calibri" w:hAnsi="Unikurd Diyako" w:cs="Unikurd Diyako" w:hint="eastAsia"/>
          <w:b/>
          <w:bCs/>
          <w:sz w:val="32"/>
          <w:szCs w:val="32"/>
          <w:rtl/>
        </w:rPr>
        <w:t>کان</w:t>
      </w:r>
      <w:r w:rsidRPr="007E6443">
        <w:rPr>
          <w:rFonts w:ascii="Unikurd Diyako" w:eastAsia="Calibri" w:hAnsi="Unikurd Diyako" w:cs="Unikurd Diyako" w:hint="cs"/>
          <w:b/>
          <w:bCs/>
          <w:sz w:val="32"/>
          <w:szCs w:val="32"/>
          <w:rtl/>
        </w:rPr>
        <w:t>ی</w:t>
      </w:r>
      <w:r w:rsidRPr="007E6443">
        <w:rPr>
          <w:rFonts w:ascii="Unikurd Diyako" w:eastAsia="Calibri" w:hAnsi="Unikurd Diyako" w:cs="Unikurd Diyako" w:hint="eastAsia"/>
          <w:b/>
          <w:bCs/>
          <w:sz w:val="32"/>
          <w:szCs w:val="32"/>
          <w:rtl/>
        </w:rPr>
        <w:t>ک</w:t>
      </w:r>
      <w:r w:rsidRPr="007E6443">
        <w:rPr>
          <w:rFonts w:ascii="Unikurd Diyako" w:eastAsia="Calibri" w:hAnsi="Unikurd Diyako" w:cs="Unikurd Diyako" w:hint="cs"/>
          <w:b/>
          <w:bCs/>
          <w:sz w:val="32"/>
          <w:szCs w:val="32"/>
          <w:rtl/>
        </w:rPr>
        <w:t>ی</w:t>
      </w:r>
      <w:r w:rsidRPr="007E6443">
        <w:rPr>
          <w:rFonts w:ascii="Unikurd Diyako" w:eastAsia="Calibri" w:hAnsi="Unikurd Diyako" w:cs="Unikurd Diyako"/>
          <w:b/>
          <w:bCs/>
          <w:sz w:val="32"/>
          <w:szCs w:val="32"/>
          <w:rtl/>
        </w:rPr>
        <w:t xml:space="preserve"> ل</w:t>
      </w:r>
      <w:r w:rsidRPr="007E6443">
        <w:rPr>
          <w:rFonts w:ascii="Unikurd Diyako" w:eastAsia="Calibri" w:hAnsi="Unikurd Diyako" w:cs="Unikurd Diyako" w:hint="cs"/>
          <w:b/>
          <w:bCs/>
          <w:sz w:val="32"/>
          <w:szCs w:val="32"/>
          <w:rtl/>
        </w:rPr>
        <w:t>ە</w:t>
      </w:r>
      <w:r w:rsidRPr="007E6443">
        <w:rPr>
          <w:rFonts w:ascii="Unikurd Diyako" w:eastAsia="Calibri" w:hAnsi="Unikurd Diyako" w:cs="Unikurd Diyako" w:hint="eastAsia"/>
          <w:b/>
          <w:bCs/>
          <w:sz w:val="32"/>
          <w:szCs w:val="32"/>
          <w:rtl/>
        </w:rPr>
        <w:t>س</w:t>
      </w:r>
      <w:r w:rsidRPr="007E6443">
        <w:rPr>
          <w:rFonts w:ascii="Unikurd Diyako" w:eastAsia="Calibri" w:hAnsi="Unikurd Diyako" w:cs="Unikurd Diyako" w:hint="cs"/>
          <w:b/>
          <w:bCs/>
          <w:sz w:val="32"/>
          <w:szCs w:val="32"/>
          <w:rtl/>
        </w:rPr>
        <w:t>ە</w:t>
      </w:r>
      <w:r w:rsidRPr="007E6443">
        <w:rPr>
          <w:rFonts w:ascii="Unikurd Diyako" w:eastAsia="Calibri" w:hAnsi="Unikurd Diyako" w:cs="Unikurd Diyako" w:hint="eastAsia"/>
          <w:b/>
          <w:bCs/>
          <w:sz w:val="32"/>
          <w:szCs w:val="32"/>
          <w:rtl/>
        </w:rPr>
        <w:t>ر</w:t>
      </w:r>
      <w:r w:rsidRPr="007E6443">
        <w:rPr>
          <w:rFonts w:ascii="Unikurd Diyako" w:eastAsia="Calibri" w:hAnsi="Unikurd Diyako" w:cs="Unikurd Diyako"/>
          <w:b/>
          <w:bCs/>
          <w:sz w:val="32"/>
          <w:szCs w:val="32"/>
          <w:rtl/>
        </w:rPr>
        <w:t xml:space="preserve"> </w:t>
      </w:r>
      <w:r w:rsidRPr="007E6443">
        <w:rPr>
          <w:rFonts w:ascii="Unikurd Diyako" w:eastAsia="Calibri" w:hAnsi="Unikurd Diyako" w:cs="Unikurd Diyako" w:hint="cs"/>
          <w:b/>
          <w:bCs/>
          <w:sz w:val="32"/>
          <w:szCs w:val="32"/>
          <w:rtl/>
        </w:rPr>
        <w:t>چارەسەرکردنی</w:t>
      </w:r>
      <w:r w:rsidRPr="007E6443">
        <w:rPr>
          <w:rFonts w:ascii="Unikurd Diyako" w:eastAsia="Calibri" w:hAnsi="Unikurd Diyako" w:cs="Unikurd Diyako"/>
          <w:b/>
          <w:bCs/>
          <w:sz w:val="32"/>
          <w:szCs w:val="32"/>
          <w:rtl/>
        </w:rPr>
        <w:t xml:space="preserve"> </w:t>
      </w:r>
      <w:r w:rsidRPr="007E6443">
        <w:rPr>
          <w:rFonts w:ascii="Unikurd Diyako" w:eastAsia="Calibri" w:hAnsi="Unikurd Diyako" w:cs="Unikurd Diyako" w:hint="cs"/>
          <w:b/>
          <w:bCs/>
          <w:sz w:val="32"/>
          <w:szCs w:val="32"/>
          <w:rtl/>
        </w:rPr>
        <w:t>داخورانی</w:t>
      </w:r>
      <w:r w:rsidRPr="007E6443">
        <w:rPr>
          <w:rFonts w:ascii="Unikurd Diyako" w:eastAsia="Calibri" w:hAnsi="Unikurd Diyako" w:cs="Unikurd Diyako"/>
          <w:b/>
          <w:bCs/>
          <w:sz w:val="32"/>
          <w:szCs w:val="32"/>
          <w:rtl/>
        </w:rPr>
        <w:t xml:space="preserve"> جومگ</w:t>
      </w:r>
      <w:r w:rsidRPr="007E6443">
        <w:rPr>
          <w:rFonts w:ascii="Unikurd Diyako" w:eastAsia="Calibri" w:hAnsi="Unikurd Diyako" w:cs="Unikurd Diyako" w:hint="cs"/>
          <w:b/>
          <w:bCs/>
          <w:sz w:val="32"/>
          <w:szCs w:val="32"/>
          <w:rtl/>
        </w:rPr>
        <w:t>ەی</w:t>
      </w:r>
      <w:r w:rsidRPr="007E6443">
        <w:rPr>
          <w:rFonts w:ascii="Unikurd Diyako" w:eastAsia="Calibri" w:hAnsi="Unikurd Diyako" w:cs="Unikurd Diyako"/>
          <w:b/>
          <w:bCs/>
          <w:sz w:val="32"/>
          <w:szCs w:val="32"/>
          <w:rtl/>
        </w:rPr>
        <w:t xml:space="preserve"> ئ</w:t>
      </w:r>
      <w:r w:rsidRPr="007E6443">
        <w:rPr>
          <w:rFonts w:ascii="Unikurd Diyako" w:eastAsia="Calibri" w:hAnsi="Unikurd Diyako" w:cs="Unikurd Diyako" w:hint="cs"/>
          <w:b/>
          <w:bCs/>
          <w:sz w:val="32"/>
          <w:szCs w:val="32"/>
          <w:rtl/>
        </w:rPr>
        <w:t>ە</w:t>
      </w:r>
      <w:r w:rsidRPr="007E6443">
        <w:rPr>
          <w:rFonts w:ascii="Unikurd Diyako" w:eastAsia="Calibri" w:hAnsi="Unikurd Diyako" w:cs="Unikurd Diyako" w:hint="eastAsia"/>
          <w:b/>
          <w:bCs/>
          <w:sz w:val="32"/>
          <w:szCs w:val="32"/>
          <w:rtl/>
        </w:rPr>
        <w:t>ژن</w:t>
      </w:r>
      <w:r w:rsidRPr="007E6443">
        <w:rPr>
          <w:rFonts w:ascii="Unikurd Diyako" w:eastAsia="Calibri" w:hAnsi="Unikurd Diyako" w:cs="Unikurd Diyako" w:hint="cs"/>
          <w:b/>
          <w:bCs/>
          <w:sz w:val="32"/>
          <w:szCs w:val="32"/>
          <w:rtl/>
        </w:rPr>
        <w:t>ۆ</w:t>
      </w:r>
    </w:p>
    <w:p w:rsidR="007E6443" w:rsidRPr="007E6443" w:rsidRDefault="007E6443" w:rsidP="007E6443">
      <w:pPr>
        <w:spacing w:line="360" w:lineRule="auto"/>
        <w:jc w:val="center"/>
        <w:rPr>
          <w:rFonts w:ascii="Unikurd Diyako" w:eastAsia="Calibri" w:hAnsi="Unikurd Diyako" w:cs="Unikurd Diyako"/>
          <w:b/>
          <w:bCs/>
          <w:sz w:val="36"/>
          <w:szCs w:val="36"/>
          <w:rtl/>
        </w:rPr>
      </w:pPr>
    </w:p>
    <w:p w:rsidR="007E6443" w:rsidRPr="007E6443" w:rsidRDefault="007E6443" w:rsidP="007E6443">
      <w:pPr>
        <w:spacing w:line="360" w:lineRule="auto"/>
        <w:jc w:val="center"/>
        <w:rPr>
          <w:rFonts w:ascii="Unikurd Diyako" w:eastAsia="Calibri" w:hAnsi="Unikurd Diyako" w:cs="Unikurd Diyako"/>
          <w:b/>
          <w:bCs/>
          <w:sz w:val="28"/>
          <w:szCs w:val="28"/>
          <w:rtl/>
        </w:rPr>
      </w:pPr>
      <w:r w:rsidRPr="007E6443">
        <w:rPr>
          <w:rFonts w:ascii="Unikurd Diyako" w:eastAsia="Calibri" w:hAnsi="Unikurd Diyako" w:cs="Unikurd Diyako"/>
          <w:b/>
          <w:bCs/>
          <w:sz w:val="32"/>
          <w:szCs w:val="32"/>
          <w:rtl/>
        </w:rPr>
        <w:t xml:space="preserve">نامەیەکە </w:t>
      </w:r>
    </w:p>
    <w:p w:rsidR="007E6443" w:rsidRPr="007E6443" w:rsidRDefault="007E6443" w:rsidP="007E6443">
      <w:pPr>
        <w:spacing w:line="276" w:lineRule="auto"/>
        <w:jc w:val="center"/>
        <w:rPr>
          <w:rFonts w:ascii="Unikurd Diyako" w:eastAsia="Calibri" w:hAnsi="Unikurd Diyako" w:cs="Unikurd Diyako"/>
          <w:sz w:val="28"/>
          <w:szCs w:val="28"/>
          <w:rtl/>
        </w:rPr>
      </w:pPr>
      <w:r w:rsidRPr="007E6443">
        <w:rPr>
          <w:rFonts w:ascii="Unikurd Diyako" w:eastAsia="Calibri" w:hAnsi="Unikurd Diyako" w:cs="Unikurd Diyako"/>
          <w:sz w:val="28"/>
          <w:szCs w:val="28"/>
          <w:rtl/>
        </w:rPr>
        <w:t>پێشکەشی ئەنجومەنی کۆلێژی تەکنیکی تەندروستی پزیشکی هەولێر کراوە لە زانکۆی پۆلیتەکنیکی هەولێروەکو  بەشێک لە پێداویستیەکانی  بۆبەدەست هێنانی بڕوانامەی باڵا لە ماستەری لە چارەسەری سروشتی</w:t>
      </w:r>
    </w:p>
    <w:p w:rsidR="007E6443" w:rsidRPr="007E6443" w:rsidRDefault="007E6443" w:rsidP="007E6443">
      <w:pPr>
        <w:spacing w:line="276" w:lineRule="auto"/>
        <w:jc w:val="center"/>
        <w:rPr>
          <w:rFonts w:ascii="Unikurd Diyako" w:eastAsia="Calibri" w:hAnsi="Unikurd Diyako" w:cs="Unikurd Diyako"/>
          <w:sz w:val="28"/>
          <w:szCs w:val="28"/>
        </w:rPr>
      </w:pPr>
    </w:p>
    <w:p w:rsidR="007E6443" w:rsidRPr="007E6443" w:rsidRDefault="007E6443" w:rsidP="007E6443">
      <w:pPr>
        <w:spacing w:line="240" w:lineRule="auto"/>
        <w:jc w:val="center"/>
        <w:rPr>
          <w:rFonts w:ascii="Unikurd Diyako" w:eastAsia="Calibri" w:hAnsi="Unikurd Diyako" w:cs="Unikurd Diyako"/>
          <w:color w:val="000000"/>
          <w:sz w:val="28"/>
          <w:szCs w:val="28"/>
          <w:rtl/>
        </w:rPr>
      </w:pPr>
      <w:r w:rsidRPr="007E6443">
        <w:rPr>
          <w:rFonts w:ascii="Unikurd Diyako" w:eastAsia="Calibri" w:hAnsi="Unikurd Diyako" w:cs="Unikurd Diyako"/>
          <w:color w:val="000000"/>
          <w:sz w:val="28"/>
          <w:szCs w:val="28"/>
          <w:rtl/>
        </w:rPr>
        <w:t>لەلایەن</w:t>
      </w:r>
    </w:p>
    <w:p w:rsidR="007E6443" w:rsidRPr="007E6443" w:rsidRDefault="007E6443" w:rsidP="007E6443">
      <w:pPr>
        <w:spacing w:line="240" w:lineRule="auto"/>
        <w:jc w:val="center"/>
        <w:rPr>
          <w:rFonts w:ascii="Unikurd Diyako" w:eastAsia="Calibri" w:hAnsi="Unikurd Diyako" w:cs="Unikurd Diyako"/>
          <w:b/>
          <w:bCs/>
          <w:color w:val="000000"/>
          <w:sz w:val="28"/>
          <w:szCs w:val="28"/>
          <w:rtl/>
        </w:rPr>
      </w:pPr>
      <w:r w:rsidRPr="007E6443">
        <w:rPr>
          <w:rFonts w:ascii="Unikurd Diyako" w:eastAsia="Calibri" w:hAnsi="Unikurd Diyako" w:cs="Unikurd Diyako" w:hint="cs"/>
          <w:b/>
          <w:bCs/>
          <w:color w:val="000000"/>
          <w:sz w:val="28"/>
          <w:szCs w:val="28"/>
          <w:rtl/>
          <w:lang w:val="en-GB" w:bidi="ar-IQ"/>
        </w:rPr>
        <w:t>محمد جليل عمر</w:t>
      </w:r>
    </w:p>
    <w:p w:rsidR="007E6443" w:rsidRPr="007E6443" w:rsidRDefault="007E6443" w:rsidP="007E6443">
      <w:pPr>
        <w:spacing w:line="240" w:lineRule="auto"/>
        <w:jc w:val="center"/>
        <w:rPr>
          <w:rFonts w:ascii="Unikurd Diyako" w:eastAsia="Calibri" w:hAnsi="Unikurd Diyako" w:cs="Unikurd Diyako"/>
          <w:color w:val="000000"/>
          <w:sz w:val="24"/>
          <w:szCs w:val="24"/>
        </w:rPr>
      </w:pPr>
      <w:r w:rsidRPr="007E6443">
        <w:rPr>
          <w:rFonts w:ascii="Unikurd Diyako" w:eastAsia="Calibri" w:hAnsi="Unikurd Diyako" w:cs="Unikurd Diyako"/>
          <w:color w:val="000000"/>
          <w:sz w:val="24"/>
          <w:szCs w:val="24"/>
          <w:rtl/>
        </w:rPr>
        <w:t>بە کالۆریۆس لە چارەسەری سروشتی /زانکۆی پولیتەکنیکی تەندروستی پزشکی هە ولیر</w:t>
      </w:r>
    </w:p>
    <w:p w:rsidR="007E6443" w:rsidRPr="007E6443" w:rsidRDefault="007E6443" w:rsidP="007E6443">
      <w:pPr>
        <w:spacing w:line="240" w:lineRule="auto"/>
        <w:jc w:val="center"/>
        <w:rPr>
          <w:rFonts w:ascii="Unikurd Diyako" w:eastAsia="Calibri" w:hAnsi="Unikurd Diyako" w:cs="Unikurd Diyako"/>
          <w:color w:val="000000"/>
          <w:sz w:val="24"/>
          <w:szCs w:val="24"/>
          <w:rtl/>
        </w:rPr>
      </w:pPr>
    </w:p>
    <w:p w:rsidR="007E6443" w:rsidRPr="007E6443" w:rsidRDefault="007E6443" w:rsidP="007E6443">
      <w:pPr>
        <w:spacing w:line="240" w:lineRule="auto"/>
        <w:jc w:val="center"/>
        <w:rPr>
          <w:rFonts w:ascii="Unikurd Diyako" w:eastAsia="Calibri" w:hAnsi="Unikurd Diyako" w:cs="Unikurd Diyako"/>
          <w:color w:val="000000"/>
          <w:sz w:val="24"/>
          <w:szCs w:val="24"/>
          <w:rtl/>
        </w:rPr>
      </w:pPr>
      <w:r w:rsidRPr="007E6443">
        <w:rPr>
          <w:rFonts w:ascii="Unikurd Diyako" w:eastAsia="Calibri" w:hAnsi="Unikurd Diyako" w:cs="Unikurd Diyako"/>
          <w:color w:val="000000"/>
          <w:sz w:val="24"/>
          <w:szCs w:val="24"/>
          <w:rtl/>
        </w:rPr>
        <w:t>بە سەرپەرشتیاری</w:t>
      </w:r>
    </w:p>
    <w:p w:rsidR="007E6443" w:rsidRPr="007E6443" w:rsidRDefault="007E6443" w:rsidP="007E6443">
      <w:pPr>
        <w:spacing w:line="240" w:lineRule="auto"/>
        <w:jc w:val="center"/>
        <w:rPr>
          <w:rFonts w:ascii="Unikurd Diyako" w:eastAsia="Calibri" w:hAnsi="Unikurd Diyako" w:cs="Unikurd Diyako"/>
          <w:color w:val="000000"/>
          <w:sz w:val="24"/>
          <w:szCs w:val="24"/>
          <w:rtl/>
        </w:rPr>
      </w:pPr>
      <w:r w:rsidRPr="007E6443">
        <w:rPr>
          <w:rFonts w:ascii="Unikurd Diyako" w:eastAsia="Calibri" w:hAnsi="Unikurd Diyako" w:cs="Unikurd Diyako"/>
          <w:color w:val="000000"/>
          <w:sz w:val="24"/>
          <w:szCs w:val="24"/>
          <w:rtl/>
        </w:rPr>
        <w:t>پرۆفیسۆری یاریدەدەر</w:t>
      </w:r>
    </w:p>
    <w:p w:rsidR="007E6443" w:rsidRPr="007E6443" w:rsidRDefault="007E6443" w:rsidP="007E6443">
      <w:pPr>
        <w:spacing w:line="240" w:lineRule="auto"/>
        <w:jc w:val="center"/>
        <w:rPr>
          <w:rFonts w:ascii="Unikurd Diyako" w:eastAsia="Calibri" w:hAnsi="Unikurd Diyako" w:cs="Unikurd Diyako"/>
          <w:b/>
          <w:bCs/>
          <w:color w:val="000000"/>
          <w:sz w:val="24"/>
          <w:szCs w:val="24"/>
          <w:rtl/>
        </w:rPr>
      </w:pPr>
      <w:r w:rsidRPr="007E6443">
        <w:rPr>
          <w:rFonts w:ascii="Unikurd Diyako" w:eastAsia="Calibri" w:hAnsi="Unikurd Diyako" w:cs="Unikurd Diyako"/>
          <w:b/>
          <w:bCs/>
          <w:color w:val="000000"/>
          <w:sz w:val="24"/>
          <w:szCs w:val="24"/>
          <w:rtl/>
        </w:rPr>
        <w:t>غسان حسني علي</w:t>
      </w:r>
    </w:p>
    <w:p w:rsidR="007E6443" w:rsidRPr="007E6443" w:rsidRDefault="007E6443" w:rsidP="007E6443">
      <w:pPr>
        <w:spacing w:line="240" w:lineRule="auto"/>
        <w:jc w:val="center"/>
        <w:rPr>
          <w:rFonts w:ascii="Unikurd Diyako" w:eastAsia="Calibri" w:hAnsi="Unikurd Diyako" w:cs="Unikurd Diyako"/>
          <w:color w:val="000000"/>
          <w:sz w:val="24"/>
          <w:szCs w:val="24"/>
        </w:rPr>
      </w:pPr>
      <w:r w:rsidRPr="007E6443">
        <w:rPr>
          <w:rFonts w:ascii="Unikurd Diyako" w:eastAsia="Calibri" w:hAnsi="Unikurd Diyako" w:cs="Unikurd Diyako" w:hint="cs"/>
          <w:color w:val="000000"/>
          <w:sz w:val="24"/>
          <w:szCs w:val="24"/>
          <w:rtl/>
        </w:rPr>
        <w:t>پرۆفیسۆری یاریدەدەر</w:t>
      </w:r>
      <w:r w:rsidRPr="007E6443">
        <w:rPr>
          <w:rFonts w:ascii="Unikurd Diyako" w:eastAsia="Calibri" w:hAnsi="Unikurd Diyako" w:cs="Unikurd Diyako"/>
          <w:color w:val="000000"/>
          <w:sz w:val="24"/>
          <w:szCs w:val="24"/>
          <w:rtl/>
        </w:rPr>
        <w:t xml:space="preserve"> / ک</w:t>
      </w:r>
      <w:r w:rsidRPr="007E6443">
        <w:rPr>
          <w:rFonts w:ascii="Unikurd Diyako" w:eastAsia="Calibri" w:hAnsi="Unikurd Diyako" w:cs="Unikurd Diyako" w:hint="cs"/>
          <w:color w:val="000000"/>
          <w:sz w:val="24"/>
          <w:szCs w:val="24"/>
          <w:rtl/>
        </w:rPr>
        <w:t>ۆ</w:t>
      </w:r>
      <w:r w:rsidRPr="007E6443">
        <w:rPr>
          <w:rFonts w:ascii="Unikurd Diyako" w:eastAsia="Calibri" w:hAnsi="Unikurd Diyako" w:cs="Unikurd Diyako" w:hint="eastAsia"/>
          <w:color w:val="000000"/>
          <w:sz w:val="24"/>
          <w:szCs w:val="24"/>
          <w:rtl/>
        </w:rPr>
        <w:t>ل</w:t>
      </w:r>
      <w:r w:rsidRPr="007E6443">
        <w:rPr>
          <w:rFonts w:ascii="Unikurd Diyako" w:eastAsia="Calibri" w:hAnsi="Unikurd Diyako" w:cs="Unikurd Diyako" w:hint="cs"/>
          <w:color w:val="000000"/>
          <w:sz w:val="24"/>
          <w:szCs w:val="24"/>
          <w:rtl/>
        </w:rPr>
        <w:t>ێ</w:t>
      </w:r>
      <w:r w:rsidRPr="007E6443">
        <w:rPr>
          <w:rFonts w:ascii="Unikurd Diyako" w:eastAsia="Calibri" w:hAnsi="Unikurd Diyako" w:cs="Unikurd Diyako" w:hint="eastAsia"/>
          <w:color w:val="000000"/>
          <w:sz w:val="24"/>
          <w:szCs w:val="24"/>
          <w:rtl/>
        </w:rPr>
        <w:t>ژ</w:t>
      </w:r>
      <w:r w:rsidRPr="007E6443">
        <w:rPr>
          <w:rFonts w:ascii="Unikurd Diyako" w:eastAsia="Calibri" w:hAnsi="Unikurd Diyako" w:cs="Unikurd Diyako" w:hint="cs"/>
          <w:color w:val="000000"/>
          <w:sz w:val="24"/>
          <w:szCs w:val="24"/>
          <w:rtl/>
        </w:rPr>
        <w:t>ی</w:t>
      </w:r>
      <w:r w:rsidRPr="007E6443">
        <w:rPr>
          <w:rFonts w:ascii="Unikurd Diyako" w:eastAsia="Calibri" w:hAnsi="Unikurd Diyako" w:cs="Unikurd Diyako"/>
          <w:color w:val="000000"/>
          <w:sz w:val="24"/>
          <w:szCs w:val="24"/>
          <w:rtl/>
        </w:rPr>
        <w:t xml:space="preserve"> ت</w:t>
      </w:r>
      <w:r w:rsidRPr="007E6443">
        <w:rPr>
          <w:rFonts w:ascii="Unikurd Diyako" w:eastAsia="Calibri" w:hAnsi="Unikurd Diyako" w:cs="Unikurd Diyako" w:hint="cs"/>
          <w:color w:val="000000"/>
          <w:sz w:val="24"/>
          <w:szCs w:val="24"/>
          <w:rtl/>
        </w:rPr>
        <w:t>ە</w:t>
      </w:r>
      <w:r w:rsidRPr="007E6443">
        <w:rPr>
          <w:rFonts w:ascii="Unikurd Diyako" w:eastAsia="Calibri" w:hAnsi="Unikurd Diyako" w:cs="Unikurd Diyako" w:hint="eastAsia"/>
          <w:color w:val="000000"/>
          <w:sz w:val="24"/>
          <w:szCs w:val="24"/>
          <w:rtl/>
        </w:rPr>
        <w:t>کن</w:t>
      </w:r>
      <w:r w:rsidRPr="007E6443">
        <w:rPr>
          <w:rFonts w:ascii="Unikurd Diyako" w:eastAsia="Calibri" w:hAnsi="Unikurd Diyako" w:cs="Unikurd Diyako" w:hint="cs"/>
          <w:color w:val="000000"/>
          <w:sz w:val="24"/>
          <w:szCs w:val="24"/>
          <w:rtl/>
        </w:rPr>
        <w:t>ی</w:t>
      </w:r>
      <w:r w:rsidRPr="007E6443">
        <w:rPr>
          <w:rFonts w:ascii="Unikurd Diyako" w:eastAsia="Calibri" w:hAnsi="Unikurd Diyako" w:cs="Unikurd Diyako" w:hint="eastAsia"/>
          <w:color w:val="000000"/>
          <w:sz w:val="24"/>
          <w:szCs w:val="24"/>
          <w:rtl/>
        </w:rPr>
        <w:t>ک</w:t>
      </w:r>
      <w:r w:rsidRPr="007E6443">
        <w:rPr>
          <w:rFonts w:ascii="Unikurd Diyako" w:eastAsia="Calibri" w:hAnsi="Unikurd Diyako" w:cs="Unikurd Diyako" w:hint="cs"/>
          <w:color w:val="000000"/>
          <w:sz w:val="24"/>
          <w:szCs w:val="24"/>
          <w:rtl/>
        </w:rPr>
        <w:t>ی</w:t>
      </w:r>
      <w:r w:rsidRPr="007E6443">
        <w:rPr>
          <w:rFonts w:ascii="Unikurd Diyako" w:eastAsia="Calibri" w:hAnsi="Unikurd Diyako" w:cs="Unikurd Diyako"/>
          <w:color w:val="000000"/>
          <w:sz w:val="24"/>
          <w:szCs w:val="24"/>
          <w:rtl/>
        </w:rPr>
        <w:t xml:space="preserve"> ت</w:t>
      </w:r>
      <w:r w:rsidRPr="007E6443">
        <w:rPr>
          <w:rFonts w:ascii="Unikurd Diyako" w:eastAsia="Calibri" w:hAnsi="Unikurd Diyako" w:cs="Unikurd Diyako" w:hint="cs"/>
          <w:color w:val="000000"/>
          <w:sz w:val="24"/>
          <w:szCs w:val="24"/>
          <w:rtl/>
        </w:rPr>
        <w:t>ە</w:t>
      </w:r>
      <w:r w:rsidRPr="007E6443">
        <w:rPr>
          <w:rFonts w:ascii="Unikurd Diyako" w:eastAsia="Calibri" w:hAnsi="Unikurd Diyako" w:cs="Unikurd Diyako" w:hint="eastAsia"/>
          <w:color w:val="000000"/>
          <w:sz w:val="24"/>
          <w:szCs w:val="24"/>
          <w:rtl/>
        </w:rPr>
        <w:t>ندروست</w:t>
      </w:r>
      <w:r w:rsidRPr="007E6443">
        <w:rPr>
          <w:rFonts w:ascii="Unikurd Diyako" w:eastAsia="Calibri" w:hAnsi="Unikurd Diyako" w:cs="Unikurd Diyako" w:hint="cs"/>
          <w:color w:val="000000"/>
          <w:sz w:val="24"/>
          <w:szCs w:val="24"/>
          <w:rtl/>
        </w:rPr>
        <w:t>ی</w:t>
      </w:r>
      <w:r w:rsidRPr="007E6443">
        <w:rPr>
          <w:rFonts w:ascii="Unikurd Diyako" w:eastAsia="Calibri" w:hAnsi="Unikurd Diyako" w:cs="Unikurd Diyako"/>
          <w:color w:val="000000"/>
          <w:sz w:val="24"/>
          <w:szCs w:val="24"/>
          <w:rtl/>
        </w:rPr>
        <w:t xml:space="preserve"> و پز</w:t>
      </w:r>
      <w:r w:rsidRPr="007E6443">
        <w:rPr>
          <w:rFonts w:ascii="Unikurd Diyako" w:eastAsia="Calibri" w:hAnsi="Unikurd Diyako" w:cs="Unikurd Diyako" w:hint="cs"/>
          <w:color w:val="000000"/>
          <w:sz w:val="24"/>
          <w:szCs w:val="24"/>
          <w:rtl/>
        </w:rPr>
        <w:t>ی</w:t>
      </w:r>
      <w:r w:rsidRPr="007E6443">
        <w:rPr>
          <w:rFonts w:ascii="Unikurd Diyako" w:eastAsia="Calibri" w:hAnsi="Unikurd Diyako" w:cs="Unikurd Diyako" w:hint="eastAsia"/>
          <w:color w:val="000000"/>
          <w:sz w:val="24"/>
          <w:szCs w:val="24"/>
          <w:rtl/>
        </w:rPr>
        <w:t>شک</w:t>
      </w:r>
      <w:r w:rsidRPr="007E6443">
        <w:rPr>
          <w:rFonts w:ascii="Unikurd Diyako" w:eastAsia="Calibri" w:hAnsi="Unikurd Diyako" w:cs="Unikurd Diyako" w:hint="cs"/>
          <w:color w:val="000000"/>
          <w:sz w:val="24"/>
          <w:szCs w:val="24"/>
          <w:rtl/>
        </w:rPr>
        <w:t>ی</w:t>
      </w:r>
      <w:r w:rsidRPr="007E6443">
        <w:rPr>
          <w:rFonts w:ascii="Unikurd Diyako" w:eastAsia="Calibri" w:hAnsi="Unikurd Diyako" w:cs="Unikurd Diyako"/>
          <w:color w:val="000000"/>
          <w:sz w:val="24"/>
          <w:szCs w:val="24"/>
          <w:rtl/>
        </w:rPr>
        <w:t xml:space="preserve"> ه</w:t>
      </w:r>
      <w:r w:rsidRPr="007E6443">
        <w:rPr>
          <w:rFonts w:ascii="Unikurd Diyako" w:eastAsia="Calibri" w:hAnsi="Unikurd Diyako" w:cs="Unikurd Diyako" w:hint="cs"/>
          <w:color w:val="000000"/>
          <w:sz w:val="24"/>
          <w:szCs w:val="24"/>
          <w:rtl/>
        </w:rPr>
        <w:t>ە</w:t>
      </w:r>
      <w:r w:rsidRPr="007E6443">
        <w:rPr>
          <w:rFonts w:ascii="Unikurd Diyako" w:eastAsia="Calibri" w:hAnsi="Unikurd Diyako" w:cs="Unikurd Diyako" w:hint="eastAsia"/>
          <w:color w:val="000000"/>
          <w:sz w:val="24"/>
          <w:szCs w:val="24"/>
          <w:rtl/>
        </w:rPr>
        <w:t>ول</w:t>
      </w:r>
      <w:r w:rsidRPr="007E6443">
        <w:rPr>
          <w:rFonts w:ascii="Unikurd Diyako" w:eastAsia="Calibri" w:hAnsi="Unikurd Diyako" w:cs="Unikurd Diyako" w:hint="cs"/>
          <w:color w:val="000000"/>
          <w:sz w:val="24"/>
          <w:szCs w:val="24"/>
          <w:rtl/>
        </w:rPr>
        <w:t>ێ</w:t>
      </w:r>
      <w:r w:rsidRPr="007E6443">
        <w:rPr>
          <w:rFonts w:ascii="Unikurd Diyako" w:eastAsia="Calibri" w:hAnsi="Unikurd Diyako" w:cs="Unikurd Diyako" w:hint="eastAsia"/>
          <w:color w:val="000000"/>
          <w:sz w:val="24"/>
          <w:szCs w:val="24"/>
          <w:rtl/>
        </w:rPr>
        <w:t>ر</w:t>
      </w:r>
    </w:p>
    <w:p w:rsidR="007E6443" w:rsidRPr="007E6443" w:rsidRDefault="007E6443" w:rsidP="007E6443">
      <w:pPr>
        <w:spacing w:line="360" w:lineRule="auto"/>
        <w:jc w:val="center"/>
        <w:rPr>
          <w:rFonts w:ascii="Unikurd Diyako" w:eastAsia="Calibri" w:hAnsi="Unikurd Diyako" w:cs="Unikurd Diyako"/>
          <w:sz w:val="24"/>
          <w:szCs w:val="24"/>
        </w:rPr>
      </w:pPr>
    </w:p>
    <w:p w:rsidR="007E6443" w:rsidRPr="007E6443" w:rsidRDefault="007E6443" w:rsidP="007E6443">
      <w:pPr>
        <w:spacing w:line="360" w:lineRule="auto"/>
        <w:jc w:val="center"/>
        <w:rPr>
          <w:rFonts w:ascii="Unikurd Diyako" w:eastAsia="Times New Roman" w:hAnsi="Unikurd Diyako" w:cs="Unikurd Diyako"/>
          <w:kern w:val="36"/>
          <w:sz w:val="28"/>
          <w:szCs w:val="28"/>
        </w:rPr>
      </w:pPr>
    </w:p>
    <w:p w:rsidR="007E6443" w:rsidRPr="007E6443" w:rsidRDefault="007E6443" w:rsidP="007E6443">
      <w:pPr>
        <w:spacing w:line="360" w:lineRule="auto"/>
        <w:jc w:val="center"/>
        <w:rPr>
          <w:rFonts w:ascii="Unikurd Diyako" w:eastAsia="Times New Roman" w:hAnsi="Unikurd Diyako" w:cs="Unikurd Diyako"/>
          <w:kern w:val="36"/>
          <w:sz w:val="28"/>
          <w:szCs w:val="28"/>
        </w:rPr>
      </w:pPr>
      <w:r w:rsidRPr="007E6443">
        <w:rPr>
          <w:rFonts w:ascii="Unikurd Diyako" w:eastAsia="Times New Roman" w:hAnsi="Unikurd Diyako" w:cs="Unikurd Diyako"/>
          <w:kern w:val="36"/>
          <w:sz w:val="28"/>
          <w:szCs w:val="28"/>
          <w:rtl/>
        </w:rPr>
        <w:t>بەفرانبار  ٢٧٢٣</w:t>
      </w:r>
    </w:p>
    <w:p w:rsidR="007E6443" w:rsidRPr="007E6443" w:rsidRDefault="007E6443" w:rsidP="007E6443">
      <w:pPr>
        <w:spacing w:line="360" w:lineRule="auto"/>
        <w:jc w:val="center"/>
        <w:rPr>
          <w:rFonts w:ascii="Unikurd Diyako" w:eastAsia="Times New Roman" w:hAnsi="Unikurd Diyako" w:cs="Unikurd Diyako"/>
          <w:b/>
          <w:bCs/>
          <w:kern w:val="36"/>
          <w:sz w:val="32"/>
          <w:szCs w:val="32"/>
        </w:rPr>
      </w:pPr>
      <w:r w:rsidRPr="007E6443">
        <w:rPr>
          <w:rFonts w:ascii="Unikurd Diyako" w:eastAsia="Times New Roman" w:hAnsi="Unikurd Diyako" w:cs="Unikurd Diyako"/>
          <w:b/>
          <w:bCs/>
          <w:kern w:val="36"/>
          <w:sz w:val="36"/>
          <w:szCs w:val="36"/>
          <w:rtl/>
        </w:rPr>
        <w:lastRenderedPageBreak/>
        <w:t>پوختە</w:t>
      </w:r>
    </w:p>
    <w:p w:rsidR="007E6443" w:rsidRPr="007E6443" w:rsidRDefault="007E6443" w:rsidP="007E6443">
      <w:pPr>
        <w:spacing w:line="360" w:lineRule="auto"/>
        <w:jc w:val="both"/>
        <w:rPr>
          <w:rFonts w:ascii="Unikurd Diyako" w:eastAsia="Times New Roman" w:hAnsi="Unikurd Diyako" w:cs="Unikurd Diyako"/>
          <w:kern w:val="36"/>
          <w:sz w:val="28"/>
          <w:szCs w:val="28"/>
        </w:rPr>
      </w:pPr>
      <w:r w:rsidRPr="007E6443">
        <w:rPr>
          <w:rFonts w:ascii="Unikurd Diyako" w:eastAsia="Times New Roman" w:hAnsi="Unikurd Diyako" w:cs="Unikurd Diyako"/>
          <w:kern w:val="36"/>
          <w:sz w:val="28"/>
          <w:szCs w:val="28"/>
          <w:rtl/>
        </w:rPr>
        <w:t>ه</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وکردن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جومگ</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ژن</w:t>
      </w:r>
      <w:r w:rsidRPr="007E6443">
        <w:rPr>
          <w:rFonts w:ascii="Unikurd Diyako" w:eastAsia="Times New Roman" w:hAnsi="Unikurd Diyako" w:cs="Unikurd Diyako" w:hint="cs"/>
          <w:kern w:val="36"/>
          <w:sz w:val="28"/>
          <w:szCs w:val="28"/>
          <w:rtl/>
        </w:rPr>
        <w:t xml:space="preserve">ۆ </w:t>
      </w:r>
      <w:r w:rsidRPr="007E6443">
        <w:rPr>
          <w:rFonts w:ascii="Unikurd Diyako" w:eastAsia="Times New Roman" w:hAnsi="Unikurd Diyako" w:cs="Unikurd Diyako"/>
          <w:kern w:val="36"/>
          <w:sz w:val="28"/>
          <w:szCs w:val="28"/>
          <w:rtl/>
        </w:rPr>
        <w:t>حا</w:t>
      </w:r>
      <w:r w:rsidRPr="007E6443">
        <w:rPr>
          <w:rFonts w:ascii="Unikurd Diyako" w:eastAsia="Times New Roman" w:hAnsi="Unikurd Diyako" w:cs="Unikurd Diyako" w:hint="cs"/>
          <w:kern w:val="36"/>
          <w:sz w:val="28"/>
          <w:szCs w:val="28"/>
          <w:rtl/>
        </w:rPr>
        <w:t>ڵە</w:t>
      </w:r>
      <w:r w:rsidRPr="007E6443">
        <w:rPr>
          <w:rFonts w:ascii="Unikurd Diyako" w:eastAsia="Times New Roman" w:hAnsi="Unikurd Diyako" w:cs="Unikurd Diyako" w:hint="eastAsia"/>
          <w:kern w:val="36"/>
          <w:sz w:val="28"/>
          <w:szCs w:val="28"/>
          <w:rtl/>
        </w:rPr>
        <w:t>ت</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ك</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در</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ژخا</w:t>
      </w:r>
      <w:r w:rsidRPr="007E6443">
        <w:rPr>
          <w:rFonts w:ascii="Unikurd Diyako" w:eastAsia="Times New Roman" w:hAnsi="Unikurd Diyako" w:cs="Unikurd Diyako" w:hint="cs"/>
          <w:kern w:val="36"/>
          <w:sz w:val="28"/>
          <w:szCs w:val="28"/>
          <w:rtl/>
        </w:rPr>
        <w:t>یە</w:t>
      </w:r>
      <w:r w:rsidRPr="007E6443">
        <w:rPr>
          <w:rFonts w:ascii="Unikurd Diyako" w:eastAsia="Times New Roman" w:hAnsi="Unikurd Diyako" w:cs="Unikurd Diyako" w:hint="eastAsia"/>
          <w:kern w:val="36"/>
          <w:sz w:val="28"/>
          <w:szCs w:val="28"/>
          <w:rtl/>
        </w:rPr>
        <w:t>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جومگ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كان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و 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ه</w:t>
      </w:r>
      <w:r w:rsidRPr="007E6443">
        <w:rPr>
          <w:rFonts w:ascii="Unikurd Diyako" w:eastAsia="Times New Roman" w:hAnsi="Unikurd Diyako" w:cs="Unikurd Diyako" w:hint="cs"/>
          <w:kern w:val="36"/>
          <w:sz w:val="28"/>
          <w:szCs w:val="28"/>
          <w:rtl/>
        </w:rPr>
        <w:t>ۆی</w:t>
      </w:r>
      <w:r w:rsidRPr="007E6443">
        <w:rPr>
          <w:rFonts w:ascii="Unikurd Diyako" w:eastAsia="Times New Roman" w:hAnsi="Unikurd Diyako" w:cs="Unikurd Diyako"/>
          <w:kern w:val="36"/>
          <w:sz w:val="28"/>
          <w:szCs w:val="28"/>
          <w:rtl/>
        </w:rPr>
        <w:t xml:space="preserve"> داخوران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ك</w:t>
      </w:r>
      <w:r w:rsidRPr="007E6443">
        <w:rPr>
          <w:rFonts w:ascii="Unikurd Diyako" w:eastAsia="Times New Roman" w:hAnsi="Unikurd Diyako" w:cs="Unikurd Diyako" w:hint="cs"/>
          <w:kern w:val="36"/>
          <w:sz w:val="28"/>
          <w:szCs w:val="28"/>
          <w:rtl/>
        </w:rPr>
        <w:t>ڕ</w:t>
      </w:r>
      <w:r w:rsidRPr="007E6443">
        <w:rPr>
          <w:rFonts w:ascii="Unikurd Diyako" w:eastAsia="Times New Roman" w:hAnsi="Unikurd Diyako" w:cs="Unikurd Diyako" w:hint="eastAsia"/>
          <w:kern w:val="36"/>
          <w:sz w:val="28"/>
          <w:szCs w:val="28"/>
          <w:rtl/>
        </w:rPr>
        <w:t>ك</w:t>
      </w:r>
      <w:r w:rsidRPr="007E6443">
        <w:rPr>
          <w:rFonts w:ascii="Unikurd Diyako" w:eastAsia="Times New Roman" w:hAnsi="Unikurd Diyako" w:cs="Unikurd Diyako" w:hint="cs"/>
          <w:kern w:val="36"/>
          <w:sz w:val="28"/>
          <w:szCs w:val="28"/>
          <w:rtl/>
        </w:rPr>
        <w:t>ڕ</w:t>
      </w:r>
      <w:r w:rsidRPr="007E6443">
        <w:rPr>
          <w:rFonts w:ascii="Unikurd Diyako" w:eastAsia="Times New Roman" w:hAnsi="Unikurd Diyako" w:cs="Unikurd Diyako" w:hint="eastAsia"/>
          <w:kern w:val="36"/>
          <w:sz w:val="28"/>
          <w:szCs w:val="28"/>
          <w:rtl/>
        </w:rPr>
        <w:t>اگ</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ك</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تا</w:t>
      </w:r>
      <w:r w:rsidRPr="007E6443">
        <w:rPr>
          <w:rFonts w:ascii="Unikurd Diyako" w:eastAsia="Times New Roman" w:hAnsi="Unikurd Diyako" w:cs="Unikurd Diyako" w:hint="cs"/>
          <w:kern w:val="36"/>
          <w:sz w:val="28"/>
          <w:szCs w:val="28"/>
          <w:rtl/>
        </w:rPr>
        <w:t>یی</w:t>
      </w:r>
      <w:r w:rsidRPr="007E6443">
        <w:rPr>
          <w:rFonts w:ascii="Unikurd Diyako" w:eastAsia="Times New Roman" w:hAnsi="Unikurd Diyako" w:cs="Unikurd Diyako"/>
          <w:kern w:val="36"/>
          <w:sz w:val="28"/>
          <w:szCs w:val="28"/>
          <w:rtl/>
        </w:rPr>
        <w:t xml:space="preserve"> ئ</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سك</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كان</w:t>
      </w:r>
      <w:r w:rsidRPr="007E6443">
        <w:rPr>
          <w:rFonts w:ascii="Unikurd Diyako" w:eastAsia="Times New Roman" w:hAnsi="Unikurd Diyako" w:cs="Unikurd Diyako"/>
          <w:kern w:val="36"/>
          <w:sz w:val="28"/>
          <w:szCs w:val="28"/>
          <w:rtl/>
        </w:rPr>
        <w:t xml:space="preserve"> روود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دات،</w:t>
      </w:r>
      <w:r w:rsidRPr="007E6443">
        <w:rPr>
          <w:rFonts w:ascii="Unikurd Diyako" w:eastAsia="Times New Roman" w:hAnsi="Unikurd Diyako" w:cs="Unikurd Diyako" w:hint="cs"/>
          <w:kern w:val="36"/>
          <w:sz w:val="28"/>
          <w:szCs w:val="28"/>
          <w:rtl/>
        </w:rPr>
        <w:t xml:space="preserve"> </w:t>
      </w:r>
      <w:r w:rsidRPr="007E6443">
        <w:rPr>
          <w:rFonts w:ascii="Unikurd Diyako" w:eastAsia="Times New Roman" w:hAnsi="Unikurd Diyako" w:cs="Unikurd Diyako" w:hint="eastAsia"/>
          <w:kern w:val="36"/>
          <w:sz w:val="28"/>
          <w:szCs w:val="28"/>
          <w:rtl/>
        </w:rPr>
        <w:t>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w:t>
      </w:r>
      <w:r w:rsidRPr="007E6443">
        <w:rPr>
          <w:rFonts w:ascii="Unikurd Diyako" w:eastAsia="Times New Roman" w:hAnsi="Unikurd Diyako" w:cs="Unikurd Diyako"/>
          <w:kern w:val="36"/>
          <w:sz w:val="28"/>
          <w:szCs w:val="28"/>
          <w:rtl/>
        </w:rPr>
        <w:t xml:space="preserve"> حا</w:t>
      </w:r>
      <w:r w:rsidRPr="007E6443">
        <w:rPr>
          <w:rFonts w:ascii="Unikurd Diyako" w:eastAsia="Times New Roman" w:hAnsi="Unikurd Diyako" w:cs="Unikurd Diyako" w:hint="cs"/>
          <w:kern w:val="36"/>
          <w:sz w:val="28"/>
          <w:szCs w:val="28"/>
          <w:rtl/>
        </w:rPr>
        <w:t>ڵە</w:t>
      </w:r>
      <w:r w:rsidRPr="007E6443">
        <w:rPr>
          <w:rFonts w:ascii="Unikurd Diyako" w:eastAsia="Times New Roman" w:hAnsi="Unikurd Diyako" w:cs="Unikurd Diyako" w:hint="eastAsia"/>
          <w:kern w:val="36"/>
          <w:sz w:val="28"/>
          <w:szCs w:val="28"/>
          <w:rtl/>
        </w:rPr>
        <w:t>ت</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کار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س</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kern w:val="36"/>
          <w:sz w:val="28"/>
          <w:szCs w:val="28"/>
          <w:rtl/>
        </w:rPr>
        <w:t xml:space="preserve"> ژمار</w:t>
      </w:r>
      <w:r w:rsidRPr="007E6443">
        <w:rPr>
          <w:rFonts w:ascii="Unikurd Diyako" w:eastAsia="Times New Roman" w:hAnsi="Unikurd Diyako" w:cs="Unikurd Diyako" w:hint="cs"/>
          <w:kern w:val="36"/>
          <w:sz w:val="28"/>
          <w:szCs w:val="28"/>
          <w:rtl/>
        </w:rPr>
        <w:t>ەیە</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ز</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تاک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کان</w:t>
      </w:r>
      <w:r w:rsidRPr="007E6443">
        <w:rPr>
          <w:rFonts w:ascii="Unikurd Diyako" w:eastAsia="Times New Roman" w:hAnsi="Unikurd Diyako" w:cs="Unikurd Diyako"/>
          <w:kern w:val="36"/>
          <w:sz w:val="28"/>
          <w:szCs w:val="28"/>
          <w:rtl/>
        </w:rPr>
        <w:t xml:space="preserve"> ه</w:t>
      </w:r>
      <w:r w:rsidRPr="007E6443">
        <w:rPr>
          <w:rFonts w:ascii="Unikurd Diyako" w:eastAsia="Times New Roman" w:hAnsi="Unikurd Diyako" w:cs="Unikurd Diyako" w:hint="cs"/>
          <w:kern w:val="36"/>
          <w:sz w:val="28"/>
          <w:szCs w:val="28"/>
          <w:rtl/>
        </w:rPr>
        <w:t>ەیە</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ئاست</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ج</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هان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دا</w:t>
      </w:r>
      <w:r w:rsidRPr="007E6443">
        <w:rPr>
          <w:rFonts w:ascii="Unikurd Diyako" w:eastAsia="Times New Roman" w:hAnsi="Unikurd Diyako" w:cs="Unikurd Diyako"/>
          <w:kern w:val="36"/>
          <w:sz w:val="28"/>
          <w:szCs w:val="28"/>
          <w:rtl/>
        </w:rPr>
        <w:t xml:space="preserve"> و 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توان</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ت</w:t>
      </w:r>
      <w:r w:rsidRPr="007E6443">
        <w:rPr>
          <w:rFonts w:ascii="Unikurd Diyako" w:eastAsia="Times New Roman" w:hAnsi="Unikurd Diyako" w:cs="Unikurd Diyako"/>
          <w:kern w:val="36"/>
          <w:sz w:val="28"/>
          <w:szCs w:val="28"/>
          <w:rtl/>
        </w:rPr>
        <w:t xml:space="preserve"> بب</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ت</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ه</w:t>
      </w:r>
      <w:r w:rsidRPr="007E6443">
        <w:rPr>
          <w:rFonts w:ascii="Unikurd Diyako" w:eastAsia="Times New Roman" w:hAnsi="Unikurd Diyako" w:cs="Unikurd Diyako" w:hint="cs"/>
          <w:kern w:val="36"/>
          <w:sz w:val="28"/>
          <w:szCs w:val="28"/>
          <w:rtl/>
        </w:rPr>
        <w:t>ۆی</w:t>
      </w:r>
      <w:r w:rsidRPr="007E6443">
        <w:rPr>
          <w:rFonts w:ascii="Unikurd Diyako" w:eastAsia="Times New Roman" w:hAnsi="Unikurd Diyako" w:cs="Unikurd Diyako"/>
          <w:kern w:val="36"/>
          <w:sz w:val="28"/>
          <w:szCs w:val="28"/>
          <w:rtl/>
        </w:rPr>
        <w:t xml:space="preserve"> ئازار</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رچاو،</w:t>
      </w:r>
      <w:r w:rsidRPr="007E6443">
        <w:rPr>
          <w:rFonts w:ascii="Unikurd Diyako" w:eastAsia="Times New Roman" w:hAnsi="Unikurd Diyako" w:cs="Unikurd Diyako"/>
          <w:kern w:val="36"/>
          <w:sz w:val="28"/>
          <w:szCs w:val="28"/>
          <w:rtl/>
        </w:rPr>
        <w:t xml:space="preserve"> سنووردارکردن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چالاک</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و گ</w:t>
      </w:r>
      <w:r w:rsidRPr="007E6443">
        <w:rPr>
          <w:rFonts w:ascii="Unikurd Diyako" w:eastAsia="Times New Roman" w:hAnsi="Unikurd Diyako" w:cs="Unikurd Diyako" w:hint="cs"/>
          <w:kern w:val="36"/>
          <w:sz w:val="28"/>
          <w:szCs w:val="28"/>
          <w:rtl/>
        </w:rPr>
        <w:t>ۆڕ</w:t>
      </w:r>
      <w:r w:rsidRPr="007E6443">
        <w:rPr>
          <w:rFonts w:ascii="Unikurd Diyako" w:eastAsia="Times New Roman" w:hAnsi="Unikurd Diyako" w:cs="Unikurd Diyako" w:hint="eastAsia"/>
          <w:kern w:val="36"/>
          <w:sz w:val="28"/>
          <w:szCs w:val="28"/>
          <w:rtl/>
        </w:rPr>
        <w:t>انکار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پ</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کهات</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جومگ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کاندا</w:t>
      </w:r>
      <w:r w:rsidRPr="007E6443">
        <w:rPr>
          <w:rFonts w:ascii="Unikurd Diyako" w:eastAsia="Times New Roman" w:hAnsi="Unikurd Diyako" w:cs="Unikurd Diyako"/>
          <w:kern w:val="36"/>
          <w:sz w:val="28"/>
          <w:szCs w:val="28"/>
          <w:rtl/>
        </w:rPr>
        <w:t>.</w:t>
      </w:r>
      <w:r w:rsidRPr="007E6443">
        <w:rPr>
          <w:rFonts w:ascii="Unikurd Diyako" w:eastAsia="Times New Roman" w:hAnsi="Unikurd Diyako" w:cs="Unikurd Diyako" w:hint="cs"/>
          <w:kern w:val="36"/>
          <w:sz w:val="28"/>
          <w:szCs w:val="28"/>
          <w:rtl/>
        </w:rPr>
        <w:t xml:space="preserve">                                                              </w:t>
      </w:r>
      <w:r w:rsidRPr="007E6443">
        <w:rPr>
          <w:rFonts w:ascii="Unikurd Diyako" w:eastAsia="Times New Roman" w:hAnsi="Unikurd Diyako" w:cs="Unikurd Diyako"/>
          <w:kern w:val="36"/>
          <w:sz w:val="28"/>
          <w:szCs w:val="28"/>
        </w:rPr>
        <w:t xml:space="preserve"> </w:t>
      </w:r>
    </w:p>
    <w:p w:rsidR="007E6443" w:rsidRPr="007E6443" w:rsidRDefault="007E6443" w:rsidP="007E6443">
      <w:pPr>
        <w:spacing w:line="360" w:lineRule="auto"/>
        <w:jc w:val="right"/>
        <w:rPr>
          <w:rFonts w:ascii="Unikurd Diyako" w:eastAsia="Times New Roman" w:hAnsi="Unikurd Diyako" w:cs="Unikurd Diyako"/>
          <w:kern w:val="36"/>
          <w:sz w:val="28"/>
          <w:szCs w:val="28"/>
          <w:rtl/>
          <w:lang w:bidi="ku-Arab-IQ"/>
        </w:rPr>
      </w:pPr>
      <w:r w:rsidRPr="007E6443">
        <w:rPr>
          <w:rFonts w:ascii="Unikurd Diyako" w:eastAsia="Times New Roman" w:hAnsi="Unikurd Diyako" w:cs="Unikurd Diyako" w:hint="eastAsia"/>
          <w:b/>
          <w:bCs/>
          <w:kern w:val="36"/>
          <w:sz w:val="28"/>
          <w:szCs w:val="28"/>
          <w:rtl/>
        </w:rPr>
        <w:t>ئامانج</w:t>
      </w:r>
      <w:r w:rsidRPr="007E6443">
        <w:rPr>
          <w:rFonts w:ascii="Unikurd Diyako" w:eastAsia="Times New Roman" w:hAnsi="Unikurd Diyako" w:cs="Unikurd Diyako" w:hint="cs"/>
          <w:b/>
          <w:bCs/>
          <w:kern w:val="36"/>
          <w:sz w:val="28"/>
          <w:szCs w:val="28"/>
          <w:rtl/>
        </w:rPr>
        <w:t>ی</w:t>
      </w:r>
      <w:r w:rsidRPr="007E6443">
        <w:rPr>
          <w:rFonts w:ascii="Unikurd Diyako" w:eastAsia="Times New Roman" w:hAnsi="Unikurd Diyako" w:cs="Unikurd Diyako"/>
          <w:b/>
          <w:bCs/>
          <w:kern w:val="36"/>
          <w:sz w:val="28"/>
          <w:szCs w:val="28"/>
          <w:rtl/>
        </w:rPr>
        <w:t xml:space="preserve"> تو</w:t>
      </w:r>
      <w:r w:rsidRPr="007E6443">
        <w:rPr>
          <w:rFonts w:ascii="Unikurd Diyako" w:eastAsia="Times New Roman" w:hAnsi="Unikurd Diyako" w:cs="Unikurd Diyako" w:hint="cs"/>
          <w:b/>
          <w:bCs/>
          <w:kern w:val="36"/>
          <w:sz w:val="28"/>
          <w:szCs w:val="28"/>
          <w:rtl/>
        </w:rPr>
        <w:t>ێ</w:t>
      </w:r>
      <w:r w:rsidRPr="007E6443">
        <w:rPr>
          <w:rFonts w:ascii="Unikurd Diyako" w:eastAsia="Times New Roman" w:hAnsi="Unikurd Diyako" w:cs="Unikurd Diyako" w:hint="eastAsia"/>
          <w:b/>
          <w:bCs/>
          <w:kern w:val="36"/>
          <w:sz w:val="28"/>
          <w:szCs w:val="28"/>
          <w:rtl/>
        </w:rPr>
        <w:t>ژ</w:t>
      </w:r>
      <w:r w:rsidRPr="007E6443">
        <w:rPr>
          <w:rFonts w:ascii="Unikurd Diyako" w:eastAsia="Times New Roman" w:hAnsi="Unikurd Diyako" w:cs="Unikurd Diyako" w:hint="cs"/>
          <w:b/>
          <w:bCs/>
          <w:kern w:val="36"/>
          <w:sz w:val="28"/>
          <w:szCs w:val="28"/>
          <w:rtl/>
        </w:rPr>
        <w:t>ی</w:t>
      </w:r>
      <w:r w:rsidRPr="007E6443">
        <w:rPr>
          <w:rFonts w:ascii="Unikurd Diyako" w:eastAsia="Times New Roman" w:hAnsi="Unikurd Diyako" w:cs="Unikurd Diyako" w:hint="eastAsia"/>
          <w:b/>
          <w:bCs/>
          <w:kern w:val="36"/>
          <w:sz w:val="28"/>
          <w:szCs w:val="28"/>
          <w:rtl/>
        </w:rPr>
        <w:t>ن</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و</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ک</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b/>
          <w:bCs/>
          <w:kern w:val="36"/>
          <w:sz w:val="28"/>
          <w:szCs w:val="28"/>
          <w:rtl/>
        </w:rPr>
        <w:t>:</w:t>
      </w:r>
      <w:r w:rsidRPr="007E6443">
        <w:rPr>
          <w:rFonts w:ascii="Unikurd Diyako" w:eastAsia="Times New Roman" w:hAnsi="Unikurd Diyako" w:cs="Unikurd Diyako"/>
          <w:kern w:val="36"/>
          <w:sz w:val="28"/>
          <w:szCs w:val="28"/>
          <w:rtl/>
        </w:rPr>
        <w:t xml:space="preserve"> ه</w:t>
      </w:r>
      <w:r w:rsidRPr="007E6443">
        <w:rPr>
          <w:rFonts w:ascii="Unikurd Diyako" w:eastAsia="Times New Roman" w:hAnsi="Unikurd Diyako" w:cs="Unikurd Diyako" w:hint="cs"/>
          <w:kern w:val="36"/>
          <w:sz w:val="28"/>
          <w:szCs w:val="28"/>
          <w:rtl/>
        </w:rPr>
        <w:t>ەڵ</w:t>
      </w:r>
      <w:r w:rsidRPr="007E6443">
        <w:rPr>
          <w:rFonts w:ascii="Unikurd Diyako" w:eastAsia="Times New Roman" w:hAnsi="Unikurd Diyako" w:cs="Unikurd Diyako" w:hint="eastAsia"/>
          <w:kern w:val="36"/>
          <w:sz w:val="28"/>
          <w:szCs w:val="28"/>
          <w:rtl/>
        </w:rPr>
        <w:t>س</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نگاندن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کار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ڕێ</w:t>
      </w:r>
      <w:r w:rsidRPr="007E6443">
        <w:rPr>
          <w:rFonts w:ascii="Unikurd Diyako" w:eastAsia="Times New Roman" w:hAnsi="Unikurd Diyako" w:cs="Unikurd Diyako" w:hint="eastAsia"/>
          <w:kern w:val="36"/>
          <w:sz w:val="28"/>
          <w:szCs w:val="28"/>
          <w:rtl/>
        </w:rPr>
        <w:t>کخستن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با</w:t>
      </w:r>
      <w:r w:rsidRPr="007E6443">
        <w:rPr>
          <w:rFonts w:ascii="Unikurd Diyako" w:eastAsia="Times New Roman" w:hAnsi="Unikurd Diyako" w:cs="Unikurd Diyako" w:hint="cs"/>
          <w:kern w:val="36"/>
          <w:sz w:val="28"/>
          <w:szCs w:val="28"/>
          <w:rtl/>
        </w:rPr>
        <w:t>یۆ</w:t>
      </w:r>
      <w:r w:rsidRPr="007E6443">
        <w:rPr>
          <w:rFonts w:ascii="Unikurd Diyako" w:eastAsia="Times New Roman" w:hAnsi="Unikurd Diyako" w:cs="Unikurd Diyako" w:hint="eastAsia"/>
          <w:kern w:val="36"/>
          <w:sz w:val="28"/>
          <w:szCs w:val="28"/>
          <w:rtl/>
        </w:rPr>
        <w:t>م</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کان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ب</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kern w:val="36"/>
          <w:sz w:val="28"/>
          <w:szCs w:val="28"/>
          <w:rtl/>
        </w:rPr>
        <w:t xml:space="preserve"> 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kern w:val="36"/>
          <w:sz w:val="28"/>
          <w:szCs w:val="28"/>
          <w:rtl/>
        </w:rPr>
        <w:t xml:space="preserve"> 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خ</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شان</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داخورانی</w:t>
      </w:r>
      <w:r w:rsidRPr="007E6443">
        <w:rPr>
          <w:rFonts w:ascii="Unikurd Diyako" w:eastAsia="Times New Roman" w:hAnsi="Unikurd Diyako" w:cs="Unikurd Diyako"/>
          <w:kern w:val="36"/>
          <w:sz w:val="28"/>
          <w:szCs w:val="28"/>
          <w:rtl/>
        </w:rPr>
        <w:t xml:space="preserve"> جومگ</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ژن</w:t>
      </w:r>
      <w:r w:rsidRPr="007E6443">
        <w:rPr>
          <w:rFonts w:ascii="Unikurd Diyako" w:eastAsia="Times New Roman" w:hAnsi="Unikurd Diyako" w:cs="Unikurd Diyako" w:hint="cs"/>
          <w:kern w:val="36"/>
          <w:sz w:val="28"/>
          <w:szCs w:val="28"/>
          <w:rtl/>
        </w:rPr>
        <w:t>ۆی</w:t>
      </w:r>
      <w:r w:rsidRPr="007E6443">
        <w:rPr>
          <w:rFonts w:ascii="Unikurd Diyako" w:eastAsia="Times New Roman" w:hAnsi="Unikurd Diyako" w:cs="Unikurd Diyako" w:hint="eastAsia"/>
          <w:kern w:val="36"/>
          <w:sz w:val="28"/>
          <w:szCs w:val="28"/>
          <w:rtl/>
        </w:rPr>
        <w:t>ان</w:t>
      </w:r>
      <w:r w:rsidRPr="007E6443">
        <w:rPr>
          <w:rFonts w:ascii="Unikurd Diyako" w:eastAsia="Times New Roman" w:hAnsi="Unikurd Diyako" w:cs="Unikurd Diyako"/>
          <w:kern w:val="36"/>
          <w:sz w:val="28"/>
          <w:szCs w:val="28"/>
          <w:rtl/>
        </w:rPr>
        <w:t xml:space="preserve"> ه</w:t>
      </w:r>
      <w:r w:rsidRPr="007E6443">
        <w:rPr>
          <w:rFonts w:ascii="Unikurd Diyako" w:eastAsia="Times New Roman" w:hAnsi="Unikurd Diyako" w:cs="Unikurd Diyako" w:hint="cs"/>
          <w:kern w:val="36"/>
          <w:sz w:val="28"/>
          <w:szCs w:val="28"/>
          <w:rtl/>
        </w:rPr>
        <w:t>ەیە</w:t>
      </w:r>
      <w:r w:rsidRPr="007E6443">
        <w:rPr>
          <w:rFonts w:ascii="Unikurd Diyako" w:eastAsia="Times New Roman" w:hAnsi="Unikurd Diyako" w:cs="Unikurd Diyako" w:hint="cs"/>
          <w:kern w:val="36"/>
          <w:sz w:val="28"/>
          <w:szCs w:val="28"/>
          <w:rtl/>
          <w:lang w:bidi="ku-Arab-IQ"/>
        </w:rPr>
        <w:t>.</w:t>
      </w:r>
    </w:p>
    <w:p w:rsidR="007E6443" w:rsidRPr="007E6443" w:rsidRDefault="007E6443" w:rsidP="007E6443">
      <w:pPr>
        <w:spacing w:line="360" w:lineRule="auto"/>
        <w:jc w:val="both"/>
        <w:rPr>
          <w:rFonts w:ascii="Unikurd Diyako" w:eastAsia="Times New Roman" w:hAnsi="Unikurd Diyako" w:cs="Unikurd Diyako"/>
          <w:kern w:val="36"/>
          <w:sz w:val="28"/>
          <w:szCs w:val="28"/>
        </w:rPr>
      </w:pPr>
      <w:r w:rsidRPr="007E6443">
        <w:rPr>
          <w:rFonts w:ascii="Unikurd Diyako" w:eastAsia="Times New Roman" w:hAnsi="Unikurd Diyako" w:cs="Unikurd Diyako" w:hint="eastAsia"/>
          <w:b/>
          <w:bCs/>
          <w:noProof/>
          <w:kern w:val="36"/>
          <w:sz w:val="28"/>
          <w:szCs w:val="28"/>
          <w:rtl/>
        </w:rPr>
        <mc:AlternateContent>
          <mc:Choice Requires="wps">
            <w:drawing>
              <wp:anchor distT="0" distB="0" distL="114300" distR="114300" simplePos="0" relativeHeight="251662336" behindDoc="0" locked="0" layoutInCell="1" allowOverlap="1" wp14:anchorId="67C70514" wp14:editId="591AC47A">
                <wp:simplePos x="0" y="0"/>
                <wp:positionH relativeFrom="column">
                  <wp:posOffset>367029</wp:posOffset>
                </wp:positionH>
                <wp:positionV relativeFrom="paragraph">
                  <wp:posOffset>1134745</wp:posOffset>
                </wp:positionV>
                <wp:extent cx="447675" cy="333375"/>
                <wp:effectExtent l="0" t="0" r="0" b="0"/>
                <wp:wrapNone/>
                <wp:docPr id="25" name="Rectangle 25"/>
                <wp:cNvGraphicFramePr/>
                <a:graphic xmlns:a="http://schemas.openxmlformats.org/drawingml/2006/main">
                  <a:graphicData uri="http://schemas.microsoft.com/office/word/2010/wordprocessingShape">
                    <wps:wsp>
                      <wps:cNvSpPr/>
                      <wps:spPr>
                        <a:xfrm>
                          <a:off x="0" y="0"/>
                          <a:ext cx="447675" cy="333375"/>
                        </a:xfrm>
                        <a:prstGeom prst="rect">
                          <a:avLst/>
                        </a:prstGeom>
                        <a:noFill/>
                        <a:ln w="12700" cap="flat" cmpd="sng" algn="ctr">
                          <a:noFill/>
                          <a:prstDash val="solid"/>
                          <a:miter lim="800000"/>
                        </a:ln>
                        <a:effectLst/>
                      </wps:spPr>
                      <wps:txbx>
                        <w:txbxContent>
                          <w:p w:rsidR="007E6443" w:rsidRPr="007E6443" w:rsidRDefault="007E6443" w:rsidP="007E6443">
                            <w:pPr>
                              <w:jc w:val="center"/>
                              <w:rPr>
                                <w:color w:val="000000"/>
                                <w:sz w:val="32"/>
                                <w:szCs w:val="32"/>
                                <w:lang w:bidi="ku-Arab-IQ"/>
                              </w:rPr>
                            </w:pPr>
                            <w:r w:rsidRPr="007E6443">
                              <w:rPr>
                                <w:color w:val="000000"/>
                                <w:sz w:val="32"/>
                                <w:szCs w:val="32"/>
                                <w:lang w:bidi="ku-Arab-IQ"/>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70514" id="Rectangle 25" o:spid="_x0000_s1026" style="position:absolute;left:0;text-align:left;margin-left:28.9pt;margin-top:89.35pt;width:35.2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" filled="f" stroked="f" strokeweight="1pt">
                <v:textbox>
                  <w:txbxContent>
                    <w:p w:rsidR="007E6443" w:rsidRPr="007E6443" w:rsidRDefault="007E6443" w:rsidP="007E6443">
                      <w:pPr>
                        <w:jc w:val="center"/>
                        <w:rPr>
                          <w:color w:val="000000"/>
                          <w:sz w:val="32"/>
                          <w:szCs w:val="32"/>
                          <w:lang w:bidi="ku-Arab-IQ"/>
                        </w:rPr>
                      </w:pPr>
                      <w:r w:rsidRPr="007E6443">
                        <w:rPr>
                          <w:color w:val="000000"/>
                          <w:sz w:val="32"/>
                          <w:szCs w:val="32"/>
                          <w:lang w:bidi="ku-Arab-IQ"/>
                        </w:rPr>
                        <w:t>B</w:t>
                      </w:r>
                    </w:p>
                  </w:txbxContent>
                </v:textbox>
              </v:rect>
            </w:pict>
          </mc:Fallback>
        </mc:AlternateContent>
      </w:r>
      <w:r w:rsidRPr="007E6443">
        <w:rPr>
          <w:rFonts w:ascii="Unikurd Diyako" w:eastAsia="Times New Roman" w:hAnsi="Unikurd Diyako" w:cs="Unikurd Diyako" w:hint="eastAsia"/>
          <w:b/>
          <w:bCs/>
          <w:noProof/>
          <w:kern w:val="36"/>
          <w:sz w:val="28"/>
          <w:szCs w:val="28"/>
          <w:rtl/>
        </w:rPr>
        <mc:AlternateContent>
          <mc:Choice Requires="wps">
            <w:drawing>
              <wp:anchor distT="0" distB="0" distL="114300" distR="114300" simplePos="0" relativeHeight="251661312" behindDoc="0" locked="0" layoutInCell="1" allowOverlap="1" wp14:anchorId="72F071F4" wp14:editId="0D50A497">
                <wp:simplePos x="0" y="0"/>
                <wp:positionH relativeFrom="column">
                  <wp:posOffset>4824730</wp:posOffset>
                </wp:positionH>
                <wp:positionV relativeFrom="paragraph">
                  <wp:posOffset>1144270</wp:posOffset>
                </wp:positionV>
                <wp:extent cx="390525" cy="323850"/>
                <wp:effectExtent l="0" t="0" r="0" b="0"/>
                <wp:wrapNone/>
                <wp:docPr id="26" name="Rectangle 26"/>
                <wp:cNvGraphicFramePr/>
                <a:graphic xmlns:a="http://schemas.openxmlformats.org/drawingml/2006/main">
                  <a:graphicData uri="http://schemas.microsoft.com/office/word/2010/wordprocessingShape">
                    <wps:wsp>
                      <wps:cNvSpPr/>
                      <wps:spPr>
                        <a:xfrm>
                          <a:off x="0" y="0"/>
                          <a:ext cx="390525" cy="323850"/>
                        </a:xfrm>
                        <a:prstGeom prst="rect">
                          <a:avLst/>
                        </a:prstGeom>
                        <a:noFill/>
                        <a:ln w="12700" cap="flat" cmpd="sng" algn="ctr">
                          <a:noFill/>
                          <a:prstDash val="solid"/>
                          <a:miter lim="800000"/>
                        </a:ln>
                        <a:effectLst/>
                      </wps:spPr>
                      <wps:txbx>
                        <w:txbxContent>
                          <w:p w:rsidR="007E6443" w:rsidRPr="00ED27A4" w:rsidRDefault="007E6443" w:rsidP="007E6443">
                            <w:pPr>
                              <w:jc w:val="center"/>
                              <w:rPr>
                                <w:sz w:val="32"/>
                                <w:szCs w:val="32"/>
                              </w:rPr>
                            </w:pPr>
                            <w:r>
                              <w:rPr>
                                <w:rFonts w:hint="cs"/>
                                <w:sz w:val="32"/>
                                <w:szCs w:val="32"/>
                                <w:rtl/>
                              </w:rPr>
                              <w:t xml:space="preserve"> </w:t>
                            </w:r>
                            <w:r w:rsidRPr="00ED27A4">
                              <w:rPr>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071F4" id="Rectangle 26" o:spid="_x0000_s1027" style="position:absolute;left:0;text-align:left;margin-left:379.9pt;margin-top:90.1pt;width:30.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" filled="f" stroked="f" strokeweight="1pt">
                <v:textbox>
                  <w:txbxContent>
                    <w:p w:rsidR="007E6443" w:rsidRPr="00ED27A4" w:rsidRDefault="007E6443" w:rsidP="007E6443">
                      <w:pPr>
                        <w:jc w:val="center"/>
                        <w:rPr>
                          <w:sz w:val="32"/>
                          <w:szCs w:val="32"/>
                        </w:rPr>
                      </w:pPr>
                      <w:r>
                        <w:rPr>
                          <w:rFonts w:hint="cs"/>
                          <w:sz w:val="32"/>
                          <w:szCs w:val="32"/>
                          <w:rtl/>
                        </w:rPr>
                        <w:t xml:space="preserve"> </w:t>
                      </w:r>
                      <w:r w:rsidRPr="00ED27A4">
                        <w:rPr>
                          <w:sz w:val="32"/>
                          <w:szCs w:val="32"/>
                        </w:rPr>
                        <w:t>A</w:t>
                      </w:r>
                    </w:p>
                  </w:txbxContent>
                </v:textbox>
              </v:rect>
            </w:pict>
          </mc:Fallback>
        </mc:AlternateContent>
      </w:r>
      <w:r w:rsidRPr="007E6443">
        <w:rPr>
          <w:rFonts w:ascii="Unikurd Diyako" w:eastAsia="Times New Roman" w:hAnsi="Unikurd Diyako" w:cs="Unikurd Diyako" w:hint="eastAsia"/>
          <w:b/>
          <w:bCs/>
          <w:kern w:val="36"/>
          <w:sz w:val="28"/>
          <w:szCs w:val="28"/>
          <w:rtl/>
        </w:rPr>
        <w:t>ک</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ر</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ست</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b/>
          <w:bCs/>
          <w:kern w:val="36"/>
          <w:sz w:val="28"/>
          <w:szCs w:val="28"/>
          <w:rtl/>
        </w:rPr>
        <w:t xml:space="preserve"> و ش</w:t>
      </w:r>
      <w:r w:rsidRPr="007E6443">
        <w:rPr>
          <w:rFonts w:ascii="Unikurd Diyako" w:eastAsia="Times New Roman" w:hAnsi="Unikurd Diyako" w:cs="Unikurd Diyako" w:hint="cs"/>
          <w:b/>
          <w:bCs/>
          <w:kern w:val="36"/>
          <w:sz w:val="28"/>
          <w:szCs w:val="28"/>
          <w:rtl/>
        </w:rPr>
        <w:t>ێ</w:t>
      </w:r>
      <w:r w:rsidRPr="007E6443">
        <w:rPr>
          <w:rFonts w:ascii="Unikurd Diyako" w:eastAsia="Times New Roman" w:hAnsi="Unikurd Diyako" w:cs="Unikurd Diyako" w:hint="eastAsia"/>
          <w:b/>
          <w:bCs/>
          <w:kern w:val="36"/>
          <w:sz w:val="28"/>
          <w:szCs w:val="28"/>
          <w:rtl/>
        </w:rPr>
        <w:t>واز</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کان</w:t>
      </w:r>
      <w:r w:rsidRPr="007E6443">
        <w:rPr>
          <w:rFonts w:ascii="Unikurd Diyako" w:eastAsia="Times New Roman" w:hAnsi="Unikurd Diyako" w:cs="Unikurd Diyako"/>
          <w:b/>
          <w:bCs/>
          <w:kern w:val="36"/>
          <w:sz w:val="28"/>
          <w:szCs w:val="28"/>
          <w:rtl/>
        </w:rPr>
        <w:t>:</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w:t>
      </w:r>
      <w:r w:rsidRPr="007E6443">
        <w:rPr>
          <w:rFonts w:ascii="Unikurd Diyako" w:eastAsia="Times New Roman" w:hAnsi="Unikurd Diyako" w:cs="Unikurd Diyako"/>
          <w:kern w:val="36"/>
          <w:sz w:val="28"/>
          <w:szCs w:val="28"/>
          <w:rtl/>
        </w:rPr>
        <w:t xml:space="preserve"> تو</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ژ</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ەیە</w:t>
      </w:r>
      <w:r w:rsidRPr="007E6443">
        <w:rPr>
          <w:rFonts w:ascii="Unikurd Diyako" w:eastAsia="Times New Roman" w:hAnsi="Unikurd Diyako" w:cs="Unikurd Diyako" w:hint="eastAsia"/>
          <w:kern w:val="36"/>
          <w:sz w:val="28"/>
          <w:szCs w:val="28"/>
          <w:rtl/>
        </w:rPr>
        <w:t>دا</w:t>
      </w:r>
      <w:r w:rsidRPr="007E6443">
        <w:rPr>
          <w:rFonts w:ascii="Unikurd Diyako" w:eastAsia="Times New Roman" w:hAnsi="Unikurd Diyako" w:cs="Unikurd Diyako"/>
          <w:kern w:val="36"/>
          <w:sz w:val="28"/>
          <w:szCs w:val="28"/>
          <w:rtl/>
        </w:rPr>
        <w:t xml:space="preserve"> ٤٠ 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خ</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ش</w:t>
      </w:r>
      <w:r w:rsidRPr="007E6443">
        <w:rPr>
          <w:rFonts w:ascii="Unikurd Diyako" w:eastAsia="Times New Roman" w:hAnsi="Unikurd Diyako" w:cs="Unikurd Diyako"/>
          <w:kern w:val="36"/>
          <w:sz w:val="28"/>
          <w:szCs w:val="28"/>
          <w:rtl/>
        </w:rPr>
        <w:t xml:space="preserve"> 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شدار</w:t>
      </w:r>
      <w:r w:rsidRPr="007E6443">
        <w:rPr>
          <w:rFonts w:ascii="Unikurd Diyako" w:eastAsia="Times New Roman" w:hAnsi="Unikurd Diyako" w:cs="Unikurd Diyako" w:hint="cs"/>
          <w:kern w:val="36"/>
          <w:sz w:val="28"/>
          <w:szCs w:val="28"/>
          <w:rtl/>
        </w:rPr>
        <w:t>یی</w:t>
      </w:r>
      <w:r w:rsidRPr="007E6443">
        <w:rPr>
          <w:rFonts w:ascii="Unikurd Diyako" w:eastAsia="Times New Roman" w:hAnsi="Unikurd Diyako" w:cs="Unikurd Diyako" w:hint="eastAsia"/>
          <w:kern w:val="36"/>
          <w:sz w:val="28"/>
          <w:szCs w:val="28"/>
          <w:rtl/>
        </w:rPr>
        <w:t>ان</w:t>
      </w:r>
      <w:r w:rsidRPr="007E6443">
        <w:rPr>
          <w:rFonts w:ascii="Unikurd Diyako" w:eastAsia="Times New Roman" w:hAnsi="Unikurd Diyako" w:cs="Unikurd Diyako"/>
          <w:kern w:val="36"/>
          <w:sz w:val="28"/>
          <w:szCs w:val="28"/>
          <w:rtl/>
        </w:rPr>
        <w:t xml:space="preserve"> کردوو</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w:t>
      </w:r>
      <w:r w:rsidRPr="007E6443">
        <w:rPr>
          <w:rFonts w:ascii="Unikurd Diyako" w:eastAsia="Times New Roman" w:hAnsi="Unikurd Diyako" w:cs="Unikurd Diyako"/>
          <w:kern w:val="36"/>
          <w:sz w:val="28"/>
          <w:szCs w:val="28"/>
          <w:rtl/>
        </w:rPr>
        <w:t xml:space="preserve"> ت</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ان</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 xml:space="preserve">ە </w:t>
      </w:r>
      <w:r w:rsidRPr="007E6443">
        <w:rPr>
          <w:rFonts w:ascii="Unikurd Diyako" w:eastAsia="Times New Roman" w:hAnsi="Unikurd Diyako" w:cs="Unikurd Diyako"/>
          <w:kern w:val="36"/>
          <w:sz w:val="28"/>
          <w:szCs w:val="28"/>
          <w:rtl/>
        </w:rPr>
        <w:t>ن</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وان</w:t>
      </w:r>
      <w:r w:rsidRPr="007E6443">
        <w:rPr>
          <w:rFonts w:ascii="Unikurd Diyako" w:eastAsia="Times New Roman" w:hAnsi="Unikurd Diyako" w:cs="Unikurd Diyako"/>
          <w:kern w:val="36"/>
          <w:sz w:val="28"/>
          <w:szCs w:val="28"/>
          <w:rtl/>
        </w:rPr>
        <w:t xml:space="preserve"> ٣٠-٨٠ سا</w:t>
      </w:r>
      <w:r w:rsidRPr="007E6443">
        <w:rPr>
          <w:rFonts w:ascii="Unikurd Diyako" w:eastAsia="Times New Roman" w:hAnsi="Unikurd Diyako" w:cs="Unikurd Diyako" w:hint="cs"/>
          <w:kern w:val="36"/>
          <w:sz w:val="28"/>
          <w:szCs w:val="28"/>
          <w:rtl/>
        </w:rPr>
        <w:t>ڵ</w:t>
      </w:r>
      <w:r w:rsidRPr="007E6443">
        <w:rPr>
          <w:rFonts w:ascii="Unikurd Diyako" w:eastAsia="Times New Roman" w:hAnsi="Unikurd Diyako" w:cs="Unikurd Diyako" w:hint="eastAsia"/>
          <w:kern w:val="36"/>
          <w:sz w:val="28"/>
          <w:szCs w:val="28"/>
          <w:rtl/>
        </w:rPr>
        <w:t>دا</w:t>
      </w:r>
      <w:r w:rsidRPr="007E6443">
        <w:rPr>
          <w:rFonts w:ascii="Unikurd Diyako" w:eastAsia="Times New Roman" w:hAnsi="Unikurd Diyako" w:cs="Unikurd Diyako" w:hint="cs"/>
          <w:kern w:val="36"/>
          <w:sz w:val="28"/>
          <w:szCs w:val="28"/>
          <w:rtl/>
        </w:rPr>
        <w:t>یە</w:t>
      </w:r>
      <w:r w:rsidRPr="007E6443">
        <w:rPr>
          <w:rFonts w:ascii="Unikurd Diyako" w:eastAsia="Times New Roman" w:hAnsi="Unikurd Diyako" w:cs="Unikurd Diyako" w:hint="eastAsia"/>
          <w:kern w:val="36"/>
          <w:sz w:val="28"/>
          <w:szCs w:val="28"/>
          <w:rtl/>
        </w:rPr>
        <w:t>،</w:t>
      </w:r>
      <w:r w:rsidRPr="007E6443">
        <w:rPr>
          <w:rFonts w:ascii="Unikurd Diyako" w:eastAsia="Times New Roman" w:hAnsi="Unikurd Diyako" w:cs="Unikurd Diyako"/>
          <w:kern w:val="36"/>
          <w:sz w:val="28"/>
          <w:szCs w:val="28"/>
          <w:rtl/>
        </w:rPr>
        <w:t xml:space="preserve"> 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ه</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ردوو</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رەگەزی</w:t>
      </w:r>
      <w:r w:rsidRPr="007E6443">
        <w:rPr>
          <w:rFonts w:ascii="Unikurd Diyako" w:eastAsia="Times New Roman" w:hAnsi="Unikurd Diyako" w:cs="Unikurd Diyako"/>
          <w:kern w:val="36"/>
          <w:sz w:val="28"/>
          <w:szCs w:val="28"/>
          <w:rtl/>
        </w:rPr>
        <w:t xml:space="preserve"> م</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kern w:val="36"/>
          <w:sz w:val="28"/>
          <w:szCs w:val="28"/>
          <w:rtl/>
        </w:rPr>
        <w:t xml:space="preserve"> و ن</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kern w:val="36"/>
          <w:sz w:val="28"/>
          <w:szCs w:val="28"/>
          <w:rtl/>
        </w:rPr>
        <w:t>. 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خ</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ش</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کان</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لا</w:t>
      </w:r>
      <w:r w:rsidRPr="007E6443">
        <w:rPr>
          <w:rFonts w:ascii="Unikurd Diyako" w:eastAsia="Times New Roman" w:hAnsi="Unikurd Diyako" w:cs="Unikurd Diyako" w:hint="cs"/>
          <w:kern w:val="36"/>
          <w:sz w:val="28"/>
          <w:szCs w:val="28"/>
          <w:rtl/>
        </w:rPr>
        <w:t>یە</w:t>
      </w:r>
      <w:r w:rsidRPr="007E6443">
        <w:rPr>
          <w:rFonts w:ascii="Unikurd Diyako" w:eastAsia="Times New Roman" w:hAnsi="Unikurd Diyako" w:cs="Unikurd Diyako" w:hint="eastAsia"/>
          <w:kern w:val="36"/>
          <w:sz w:val="28"/>
          <w:szCs w:val="28"/>
          <w:rtl/>
        </w:rPr>
        <w:t>ن</w:t>
      </w:r>
      <w:r w:rsidRPr="007E6443">
        <w:rPr>
          <w:rFonts w:ascii="Unikurd Diyako" w:eastAsia="Times New Roman" w:hAnsi="Unikurd Diyako" w:cs="Unikurd Diyako"/>
          <w:kern w:val="36"/>
          <w:sz w:val="28"/>
          <w:szCs w:val="28"/>
          <w:rtl/>
        </w:rPr>
        <w:t xml:space="preserve"> پز</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شکان</w:t>
      </w:r>
      <w:r w:rsidRPr="007E6443">
        <w:rPr>
          <w:rFonts w:ascii="Unikurd Diyako" w:eastAsia="Times New Roman" w:hAnsi="Unikurd Diyako" w:cs="Unikurd Diyako" w:hint="cs"/>
          <w:kern w:val="36"/>
          <w:sz w:val="28"/>
          <w:szCs w:val="28"/>
          <w:rtl/>
        </w:rPr>
        <w:t>ی ڕۆ</w:t>
      </w:r>
      <w:r w:rsidRPr="007E6443">
        <w:rPr>
          <w:rFonts w:ascii="Unikurd Diyako" w:eastAsia="Times New Roman" w:hAnsi="Unikurd Diyako" w:cs="Unikurd Diyako" w:hint="eastAsia"/>
          <w:kern w:val="36"/>
          <w:sz w:val="28"/>
          <w:szCs w:val="28"/>
          <w:rtl/>
        </w:rPr>
        <w:t>مات</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زم</w:t>
      </w:r>
      <w:r w:rsidRPr="007E6443">
        <w:rPr>
          <w:rFonts w:ascii="Unikurd Diyako" w:eastAsia="Times New Roman" w:hAnsi="Unikurd Diyako" w:cs="Unikurd Diyako"/>
          <w:kern w:val="36"/>
          <w:sz w:val="28"/>
          <w:szCs w:val="28"/>
          <w:rtl/>
        </w:rPr>
        <w:t xml:space="preserve"> و ئ</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سک</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دەستنیشانی</w:t>
      </w:r>
      <w:r w:rsidRPr="007E6443">
        <w:rPr>
          <w:rFonts w:ascii="Unikurd Diyako" w:eastAsia="Times New Roman" w:hAnsi="Unikurd Diyako" w:cs="Unikurd Diyako"/>
          <w:kern w:val="36"/>
          <w:sz w:val="28"/>
          <w:szCs w:val="28"/>
          <w:rtl/>
        </w:rPr>
        <w:t xml:space="preserve"> ئازار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ژن</w:t>
      </w:r>
      <w:r w:rsidRPr="007E6443">
        <w:rPr>
          <w:rFonts w:ascii="Unikurd Diyako" w:eastAsia="Times New Roman" w:hAnsi="Unikurd Diyako" w:cs="Unikurd Diyako" w:hint="cs"/>
          <w:kern w:val="36"/>
          <w:sz w:val="28"/>
          <w:szCs w:val="28"/>
          <w:rtl/>
        </w:rPr>
        <w:t>ۆی</w:t>
      </w:r>
      <w:r w:rsidRPr="007E6443">
        <w:rPr>
          <w:rFonts w:ascii="Unikurd Diyako" w:eastAsia="Times New Roman" w:hAnsi="Unikurd Diyako" w:cs="Unikurd Diyako" w:hint="eastAsia"/>
          <w:kern w:val="36"/>
          <w:sz w:val="28"/>
          <w:szCs w:val="28"/>
          <w:rtl/>
        </w:rPr>
        <w:t>ان</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کراوە</w:t>
      </w:r>
      <w:r w:rsidRPr="007E6443">
        <w:rPr>
          <w:rFonts w:ascii="Unikurd Diyako" w:eastAsia="Times New Roman" w:hAnsi="Unikurd Diyako" w:cs="Unikurd Diyako"/>
          <w:kern w:val="36"/>
          <w:sz w:val="28"/>
          <w:szCs w:val="28"/>
          <w:rtl/>
        </w:rPr>
        <w:t>. 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شداربووان</w:t>
      </w:r>
      <w:r w:rsidRPr="007E6443">
        <w:rPr>
          <w:rFonts w:ascii="Unikurd Diyako" w:eastAsia="Times New Roman" w:hAnsi="Unikurd Diyako" w:cs="Unikurd Diyako"/>
          <w:kern w:val="36"/>
          <w:sz w:val="28"/>
          <w:szCs w:val="28"/>
          <w:rtl/>
        </w:rPr>
        <w:t xml:space="preserve"> داب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شکراون</w:t>
      </w:r>
      <w:r w:rsidRPr="007E6443">
        <w:rPr>
          <w:rFonts w:ascii="Unikurd Diyako" w:eastAsia="Times New Roman" w:hAnsi="Unikurd Diyako" w:cs="Unikurd Diyako"/>
          <w:kern w:val="36"/>
          <w:sz w:val="28"/>
          <w:szCs w:val="28"/>
          <w:rtl/>
        </w:rPr>
        <w:t xml:space="preserve"> 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س</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kern w:val="36"/>
          <w:sz w:val="28"/>
          <w:szCs w:val="28"/>
          <w:rtl/>
        </w:rPr>
        <w:t xml:space="preserve"> دوو گرو</w:t>
      </w:r>
      <w:r w:rsidRPr="007E6443">
        <w:rPr>
          <w:rFonts w:ascii="Unikurd Diyako" w:eastAsia="Times New Roman" w:hAnsi="Unikurd Diyako" w:cs="Unikurd Diyako" w:hint="eastAsia"/>
          <w:kern w:val="36"/>
          <w:sz w:val="28"/>
          <w:szCs w:val="28"/>
          <w:rtl/>
        </w:rPr>
        <w:t>پدا</w:t>
      </w:r>
      <w:r w:rsidRPr="007E6443">
        <w:rPr>
          <w:rFonts w:ascii="Unikurd Diyako" w:eastAsia="Times New Roman" w:hAnsi="Unikurd Diyako" w:cs="Unikurd Diyako"/>
          <w:kern w:val="36"/>
          <w:sz w:val="28"/>
          <w:szCs w:val="28"/>
          <w:rtl/>
        </w:rPr>
        <w:t>:</w:t>
      </w:r>
      <w:r w:rsidRPr="007E6443">
        <w:rPr>
          <w:rFonts w:ascii="Unikurd Diyako" w:eastAsia="Times New Roman" w:hAnsi="Unikurd Diyako" w:cs="Unikurd Diyako" w:hint="cs"/>
          <w:kern w:val="36"/>
          <w:sz w:val="28"/>
          <w:szCs w:val="28"/>
          <w:rtl/>
        </w:rPr>
        <w:t xml:space="preserve"> </w:t>
      </w:r>
      <w:r w:rsidRPr="007E6443">
        <w:rPr>
          <w:rFonts w:ascii="Unikurd Diyako" w:eastAsia="Times New Roman" w:hAnsi="Unikurd Diyako" w:cs="Unikurd Diyako"/>
          <w:kern w:val="36"/>
          <w:sz w:val="28"/>
          <w:szCs w:val="28"/>
          <w:rtl/>
        </w:rPr>
        <w:t>گروپ</w:t>
      </w:r>
      <w:r w:rsidRPr="007E6443">
        <w:rPr>
          <w:rFonts w:ascii="Unikurd Diyako" w:eastAsia="Times New Roman" w:hAnsi="Unikurd Diyako" w:cs="Unikurd Diyako" w:hint="cs"/>
          <w:kern w:val="36"/>
          <w:sz w:val="28"/>
          <w:szCs w:val="28"/>
          <w:rtl/>
        </w:rPr>
        <w:t>ی     پێکدێت لە ٢٠ نەخۆش کە</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چارەسەری</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بایۆمیکانیکیان کردووە، گرووپی    گرووپی کۆنتڕۆڵە پێکدێت</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لە</w:t>
      </w:r>
      <w:r w:rsidRPr="007E6443">
        <w:rPr>
          <w:rFonts w:ascii="Unikurd Diyako" w:eastAsia="Times New Roman" w:hAnsi="Unikurd Diyako" w:cs="Unikurd Diyako"/>
          <w:kern w:val="36"/>
          <w:sz w:val="28"/>
          <w:szCs w:val="28"/>
          <w:rtl/>
        </w:rPr>
        <w:t xml:space="preserve"> ٢٠ </w:t>
      </w:r>
      <w:r w:rsidRPr="007E6443">
        <w:rPr>
          <w:rFonts w:ascii="Unikurd Diyako" w:eastAsia="Times New Roman" w:hAnsi="Unikurd Diyako" w:cs="Unikurd Diyako" w:hint="cs"/>
          <w:kern w:val="36"/>
          <w:sz w:val="28"/>
          <w:szCs w:val="28"/>
          <w:rtl/>
        </w:rPr>
        <w:t>نەخۆش کە چارەسەری</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سروشتی</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و</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دەرمانیان وەرگرتووە</w:t>
      </w:r>
      <w:r w:rsidRPr="007E6443">
        <w:rPr>
          <w:rFonts w:ascii="Unikurd Diyako" w:eastAsia="Times New Roman" w:hAnsi="Unikurd Diyako" w:cs="Unikurd Diyako"/>
          <w:kern w:val="36"/>
          <w:sz w:val="28"/>
          <w:szCs w:val="28"/>
          <w:rtl/>
        </w:rPr>
        <w:t>.</w:t>
      </w:r>
      <w:r w:rsidRPr="007E6443">
        <w:rPr>
          <w:rFonts w:ascii="Unikurd Diyako" w:eastAsia="Times New Roman" w:hAnsi="Unikurd Diyako" w:cs="Unikurd Diyako" w:hint="cs"/>
          <w:kern w:val="36"/>
          <w:sz w:val="28"/>
          <w:szCs w:val="28"/>
          <w:rtl/>
        </w:rPr>
        <w:t xml:space="preserve">        </w:t>
      </w:r>
      <w:r w:rsidRPr="007E6443">
        <w:rPr>
          <w:rFonts w:ascii="Unikurd Diyako" w:eastAsia="Times New Roman" w:hAnsi="Unikurd Diyako" w:cs="Unikurd Diyako"/>
          <w:kern w:val="36"/>
          <w:sz w:val="28"/>
          <w:szCs w:val="28"/>
          <w:rtl/>
        </w:rPr>
        <w:t>داتاکان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خ</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شخان</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ف</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رکار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ڕ</w:t>
      </w:r>
      <w:r w:rsidRPr="007E6443">
        <w:rPr>
          <w:rFonts w:ascii="Unikurd Diyako" w:eastAsia="Times New Roman" w:hAnsi="Unikurd Diyako" w:cs="Unikurd Diyako" w:hint="eastAsia"/>
          <w:kern w:val="36"/>
          <w:sz w:val="28"/>
          <w:szCs w:val="28"/>
          <w:rtl/>
        </w:rPr>
        <w:t>زگار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و 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خ</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شخان</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ف</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kern w:val="36"/>
          <w:sz w:val="28"/>
          <w:szCs w:val="28"/>
          <w:rtl/>
        </w:rPr>
        <w:t>رکار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ه</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ول</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ماو</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مانگ</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کانوون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دوو</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٢٠٢١ تا ت</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مموز</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٢٠٢٣ ک</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کراون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ت</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 xml:space="preserve">ە.                                       </w:t>
      </w:r>
    </w:p>
    <w:p w:rsidR="007E6443" w:rsidRPr="007E6443" w:rsidRDefault="007E6443" w:rsidP="007E6443">
      <w:pPr>
        <w:spacing w:line="360" w:lineRule="auto"/>
        <w:jc w:val="both"/>
        <w:rPr>
          <w:rFonts w:ascii="Unikurd Diyako" w:eastAsia="Times New Roman" w:hAnsi="Unikurd Diyako" w:cs="Unikurd Diyako"/>
          <w:kern w:val="36"/>
          <w:sz w:val="28"/>
          <w:szCs w:val="28"/>
        </w:rPr>
      </w:pPr>
      <w:r w:rsidRPr="007E6443">
        <w:rPr>
          <w:rFonts w:ascii="Unikurd Diyako" w:eastAsia="Times New Roman" w:hAnsi="Unikurd Diyako" w:cs="Unikurd Diyako" w:hint="eastAsia"/>
          <w:b/>
          <w:bCs/>
          <w:kern w:val="36"/>
          <w:sz w:val="28"/>
          <w:szCs w:val="28"/>
          <w:rtl/>
        </w:rPr>
        <w:t>د</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ر</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نجام</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کان</w:t>
      </w:r>
      <w:r w:rsidRPr="007E6443">
        <w:rPr>
          <w:rFonts w:ascii="Unikurd Diyako" w:eastAsia="Times New Roman" w:hAnsi="Unikurd Diyako" w:cs="Unikurd Diyako"/>
          <w:b/>
          <w:bCs/>
          <w:kern w:val="36"/>
          <w:sz w:val="28"/>
          <w:szCs w:val="28"/>
          <w:rtl/>
        </w:rPr>
        <w:t xml:space="preserve">: </w:t>
      </w:r>
      <w:r w:rsidRPr="007E6443">
        <w:rPr>
          <w:rFonts w:ascii="Unikurd Diyako" w:eastAsia="Times New Roman" w:hAnsi="Unikurd Diyako" w:cs="Unikurd Diyako"/>
          <w:kern w:val="36"/>
          <w:sz w:val="28"/>
          <w:szCs w:val="28"/>
          <w:rtl/>
        </w:rPr>
        <w:t>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نجام</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کان</w:t>
      </w:r>
      <w:r w:rsidRPr="007E6443">
        <w:rPr>
          <w:rFonts w:ascii="Unikurd Diyako" w:eastAsia="Times New Roman" w:hAnsi="Unikurd Diyako" w:cs="Unikurd Diyako"/>
          <w:kern w:val="36"/>
          <w:sz w:val="28"/>
          <w:szCs w:val="28"/>
          <w:rtl/>
        </w:rPr>
        <w:t xml:space="preserve"> 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انخست</w:t>
      </w:r>
      <w:r w:rsidRPr="007E6443">
        <w:rPr>
          <w:rFonts w:ascii="Unikurd Diyako" w:eastAsia="Times New Roman" w:hAnsi="Unikurd Diyako" w:cs="Unikurd Diyako"/>
          <w:kern w:val="36"/>
          <w:sz w:val="28"/>
          <w:szCs w:val="28"/>
          <w:rtl/>
        </w:rPr>
        <w:t xml:space="preserve"> 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ه</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ردوو</w:t>
      </w:r>
      <w:r w:rsidRPr="007E6443">
        <w:rPr>
          <w:rFonts w:ascii="Unikurd Diyako" w:eastAsia="Times New Roman" w:hAnsi="Unikurd Diyako" w:cs="Unikurd Diyako"/>
          <w:kern w:val="36"/>
          <w:sz w:val="28"/>
          <w:szCs w:val="28"/>
          <w:rtl/>
        </w:rPr>
        <w:t xml:space="preserve"> گروپ</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کار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kern w:val="36"/>
          <w:sz w:val="28"/>
          <w:szCs w:val="28"/>
          <w:rtl/>
        </w:rPr>
        <w:t xml:space="preserve"> بوون ل</w:t>
      </w:r>
      <w:r w:rsidRPr="007E6443">
        <w:rPr>
          <w:rFonts w:ascii="Unikurd Diyako" w:eastAsia="Times New Roman" w:hAnsi="Unikurd Diyako" w:cs="Unikurd Diyako" w:hint="cs"/>
          <w:kern w:val="36"/>
          <w:sz w:val="28"/>
          <w:szCs w:val="28"/>
          <w:rtl/>
        </w:rPr>
        <w:t xml:space="preserve">ە </w:t>
      </w:r>
      <w:r w:rsidRPr="007E6443">
        <w:rPr>
          <w:rFonts w:ascii="Unikurd Diyako" w:eastAsia="Times New Roman" w:hAnsi="Unikurd Diyako" w:cs="Unikurd Diyako"/>
          <w:kern w:val="36"/>
          <w:sz w:val="28"/>
          <w:szCs w:val="28"/>
          <w:rtl/>
        </w:rPr>
        <w:t>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مکردن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ئازار و باشترکردن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ج</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ست</w:t>
      </w:r>
      <w:r w:rsidRPr="007E6443">
        <w:rPr>
          <w:rFonts w:ascii="Unikurd Diyako" w:eastAsia="Times New Roman" w:hAnsi="Unikurd Diyako" w:cs="Unikurd Diyako" w:hint="cs"/>
          <w:kern w:val="36"/>
          <w:sz w:val="28"/>
          <w:szCs w:val="28"/>
          <w:rtl/>
        </w:rPr>
        <w:t>ەییە</w:t>
      </w:r>
      <w:r w:rsidRPr="007E6443">
        <w:rPr>
          <w:rFonts w:ascii="Unikurd Diyako" w:eastAsia="Times New Roman" w:hAnsi="Unikurd Diyako" w:cs="Unikurd Diyako" w:hint="eastAsia"/>
          <w:kern w:val="36"/>
          <w:sz w:val="28"/>
          <w:szCs w:val="28"/>
          <w:rtl/>
        </w:rPr>
        <w:t>کان،</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گروپ</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تو</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ژ</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دا</w:t>
      </w:r>
      <w:r w:rsidRPr="007E6443">
        <w:rPr>
          <w:rFonts w:ascii="Unikurd Diyako" w:eastAsia="Times New Roman" w:hAnsi="Unikurd Diyako" w:cs="Unikurd Diyako"/>
          <w:kern w:val="36"/>
          <w:sz w:val="28"/>
          <w:szCs w:val="28"/>
          <w:rtl/>
        </w:rPr>
        <w:t xml:space="preserve"> ت</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ڕ</w:t>
      </w:r>
      <w:r w:rsidRPr="007E6443">
        <w:rPr>
          <w:rFonts w:ascii="Unikurd Diyako" w:eastAsia="Times New Roman" w:hAnsi="Unikurd Diyako" w:cs="Unikurd Diyako" w:hint="eastAsia"/>
          <w:kern w:val="36"/>
          <w:sz w:val="28"/>
          <w:szCs w:val="28"/>
          <w:rtl/>
        </w:rPr>
        <w:t>ا</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نمر</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گشت</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دوا</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ئازار (</w:t>
      </w:r>
      <w:r w:rsidRPr="007E6443">
        <w:rPr>
          <w:rFonts w:ascii="Unikurd Diyako" w:eastAsia="Times New Roman" w:hAnsi="Unikurd Diyako" w:cs="Unikurd Diyako" w:hint="cs"/>
          <w:kern w:val="36"/>
          <w:sz w:val="28"/>
          <w:szCs w:val="28"/>
          <w:rtl/>
        </w:rPr>
        <w:t>١،١٠</w:t>
      </w:r>
      <w:r w:rsidRPr="007E6443">
        <w:rPr>
          <w:rFonts w:ascii="Unikurd Diyako" w:eastAsia="Times New Roman" w:hAnsi="Unikurd Diyako" w:cs="Unikurd Diyako"/>
          <w:kern w:val="36"/>
          <w:sz w:val="28"/>
          <w:szCs w:val="28"/>
          <w:rtl/>
        </w:rPr>
        <w:t>) 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متر</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ت</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ڕ</w:t>
      </w:r>
      <w:r w:rsidRPr="007E6443">
        <w:rPr>
          <w:rFonts w:ascii="Unikurd Diyako" w:eastAsia="Times New Roman" w:hAnsi="Unikurd Diyako" w:cs="Unikurd Diyako" w:hint="eastAsia"/>
          <w:kern w:val="36"/>
          <w:sz w:val="28"/>
          <w:szCs w:val="28"/>
          <w:rtl/>
        </w:rPr>
        <w:t>ا</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نمر</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پ</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ش</w:t>
      </w:r>
      <w:r w:rsidRPr="007E6443">
        <w:rPr>
          <w:rFonts w:ascii="Unikurd Diyako" w:eastAsia="Times New Roman" w:hAnsi="Unikurd Diyako" w:cs="Unikurd Diyako"/>
          <w:kern w:val="36"/>
          <w:sz w:val="28"/>
          <w:szCs w:val="28"/>
          <w:rtl/>
        </w:rPr>
        <w:t xml:space="preserve"> ئازار (</w:t>
      </w:r>
      <w:r w:rsidRPr="007E6443">
        <w:rPr>
          <w:rFonts w:ascii="Unikurd Diyako" w:eastAsia="Times New Roman" w:hAnsi="Unikurd Diyako" w:cs="Unikurd Diyako" w:hint="cs"/>
          <w:kern w:val="36"/>
          <w:sz w:val="28"/>
          <w:szCs w:val="28"/>
          <w:rtl/>
        </w:rPr>
        <w:t>٢،٩</w:t>
      </w:r>
      <w:r w:rsidRPr="007E6443">
        <w:rPr>
          <w:rFonts w:ascii="Unikurd Diyako" w:eastAsia="Times New Roman" w:hAnsi="Unikurd Diyako" w:cs="Unikurd Diyako"/>
          <w:kern w:val="36"/>
          <w:sz w:val="28"/>
          <w:szCs w:val="28"/>
          <w:rtl/>
        </w:rPr>
        <w:t xml:space="preserve">) و </w:t>
      </w:r>
      <w:r w:rsidRPr="007E6443">
        <w:rPr>
          <w:rFonts w:ascii="Unikurd Diyako" w:eastAsia="Times New Roman" w:hAnsi="Unikurd Diyako" w:cs="Unikurd Diyako" w:hint="cs"/>
          <w:kern w:val="36"/>
          <w:sz w:val="28"/>
          <w:szCs w:val="28"/>
          <w:rtl/>
        </w:rPr>
        <w:t>تێکرای</w:t>
      </w:r>
      <w:r w:rsidRPr="007E6443">
        <w:rPr>
          <w:rFonts w:ascii="Unikurd Diyako" w:eastAsia="Times New Roman" w:hAnsi="Unikurd Diyako" w:cs="Unikurd Diyako"/>
          <w:kern w:val="36"/>
          <w:sz w:val="28"/>
          <w:szCs w:val="28"/>
          <w:rtl/>
        </w:rPr>
        <w:t xml:space="preserve"> ج</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اواز</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بر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ت</w:t>
      </w:r>
      <w:r w:rsidRPr="007E6443">
        <w:rPr>
          <w:rFonts w:ascii="Unikurd Diyako" w:eastAsia="Times New Roman" w:hAnsi="Unikurd Diyako" w:cs="Unikurd Diyako" w:hint="cs"/>
          <w:kern w:val="36"/>
          <w:sz w:val="28"/>
          <w:szCs w:val="28"/>
          <w:rtl/>
        </w:rPr>
        <w:t>ییە</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١،٨</w:t>
      </w:r>
      <w:r w:rsidRPr="007E6443">
        <w:rPr>
          <w:rFonts w:ascii="Unikurd Diyako" w:eastAsia="Times New Roman" w:hAnsi="Unikurd Diyako" w:cs="Unikurd Diyako"/>
          <w:kern w:val="36"/>
          <w:sz w:val="28"/>
          <w:szCs w:val="28"/>
          <w:rtl/>
        </w:rPr>
        <w:t>).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گروپ</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ک</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نتر</w:t>
      </w:r>
      <w:r w:rsidRPr="007E6443">
        <w:rPr>
          <w:rFonts w:ascii="Unikurd Diyako" w:eastAsia="Times New Roman" w:hAnsi="Unikurd Diyako" w:cs="Unikurd Diyako" w:hint="cs"/>
          <w:kern w:val="36"/>
          <w:sz w:val="28"/>
          <w:szCs w:val="28"/>
          <w:rtl/>
        </w:rPr>
        <w:t>ۆڵ</w:t>
      </w:r>
      <w:r w:rsidRPr="007E6443">
        <w:rPr>
          <w:rFonts w:ascii="Unikurd Diyako" w:eastAsia="Times New Roman" w:hAnsi="Unikurd Diyako" w:cs="Unikurd Diyako" w:hint="eastAsia"/>
          <w:kern w:val="36"/>
          <w:sz w:val="28"/>
          <w:szCs w:val="28"/>
          <w:rtl/>
        </w:rPr>
        <w:t>دا</w:t>
      </w:r>
      <w:r w:rsidRPr="007E6443">
        <w:rPr>
          <w:rFonts w:ascii="Unikurd Diyako" w:eastAsia="Times New Roman" w:hAnsi="Unikurd Diyako" w:cs="Unikurd Diyako"/>
          <w:kern w:val="36"/>
          <w:sz w:val="28"/>
          <w:szCs w:val="28"/>
          <w:rtl/>
        </w:rPr>
        <w:t xml:space="preserve"> ت</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ڕ</w:t>
      </w:r>
      <w:r w:rsidRPr="007E6443">
        <w:rPr>
          <w:rFonts w:ascii="Unikurd Diyako" w:eastAsia="Times New Roman" w:hAnsi="Unikurd Diyako" w:cs="Unikurd Diyako" w:hint="eastAsia"/>
          <w:kern w:val="36"/>
          <w:sz w:val="28"/>
          <w:szCs w:val="28"/>
          <w:rtl/>
        </w:rPr>
        <w:t>ا</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نمر</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گشت</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دوا</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ئازار (</w:t>
      </w:r>
      <w:r w:rsidRPr="007E6443">
        <w:rPr>
          <w:rFonts w:ascii="Unikurd Diyako" w:eastAsia="Times New Roman" w:hAnsi="Unikurd Diyako" w:cs="Unikurd Diyako" w:hint="cs"/>
          <w:kern w:val="36"/>
          <w:sz w:val="28"/>
          <w:szCs w:val="28"/>
          <w:rtl/>
        </w:rPr>
        <w:t>١،٨٠</w:t>
      </w:r>
      <w:r w:rsidRPr="007E6443">
        <w:rPr>
          <w:rFonts w:ascii="Unikurd Diyako" w:eastAsia="Times New Roman" w:hAnsi="Unikurd Diyako" w:cs="Unikurd Diyako"/>
          <w:kern w:val="36"/>
          <w:sz w:val="28"/>
          <w:szCs w:val="28"/>
          <w:rtl/>
        </w:rPr>
        <w:t>) 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متر</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ت</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ڕ</w:t>
      </w:r>
      <w:r w:rsidRPr="007E6443">
        <w:rPr>
          <w:rFonts w:ascii="Unikurd Diyako" w:eastAsia="Times New Roman" w:hAnsi="Unikurd Diyako" w:cs="Unikurd Diyako" w:hint="eastAsia"/>
          <w:kern w:val="36"/>
          <w:sz w:val="28"/>
          <w:szCs w:val="28"/>
          <w:rtl/>
        </w:rPr>
        <w:t>ا</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نمر</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پ</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ش</w:t>
      </w:r>
      <w:r w:rsidRPr="007E6443">
        <w:rPr>
          <w:rFonts w:ascii="Unikurd Diyako" w:eastAsia="Times New Roman" w:hAnsi="Unikurd Diyako" w:cs="Unikurd Diyako"/>
          <w:kern w:val="36"/>
          <w:sz w:val="28"/>
          <w:szCs w:val="28"/>
          <w:rtl/>
        </w:rPr>
        <w:t xml:space="preserve"> ئازار (</w:t>
      </w:r>
      <w:r w:rsidRPr="007E6443">
        <w:rPr>
          <w:rFonts w:ascii="Unikurd Diyako" w:eastAsia="Times New Roman" w:hAnsi="Unikurd Diyako" w:cs="Unikurd Diyako" w:hint="cs"/>
          <w:kern w:val="36"/>
          <w:sz w:val="28"/>
          <w:szCs w:val="28"/>
          <w:rtl/>
        </w:rPr>
        <w:t>٢،٧</w:t>
      </w:r>
      <w:r w:rsidRPr="007E6443">
        <w:rPr>
          <w:rFonts w:ascii="Unikurd Diyako" w:eastAsia="Times New Roman" w:hAnsi="Unikurd Diyako" w:cs="Unikurd Diyako"/>
          <w:kern w:val="36"/>
          <w:sz w:val="28"/>
          <w:szCs w:val="28"/>
          <w:rtl/>
        </w:rPr>
        <w:t xml:space="preserve">) و </w:t>
      </w:r>
      <w:r w:rsidRPr="007E6443">
        <w:rPr>
          <w:rFonts w:ascii="Unikurd Diyako" w:eastAsia="Times New Roman" w:hAnsi="Unikurd Diyako" w:cs="Unikurd Diyako" w:hint="cs"/>
          <w:kern w:val="36"/>
          <w:sz w:val="28"/>
          <w:szCs w:val="28"/>
          <w:rtl/>
        </w:rPr>
        <w:t xml:space="preserve">تێکرای </w:t>
      </w:r>
      <w:r w:rsidRPr="007E6443">
        <w:rPr>
          <w:rFonts w:ascii="Unikurd Diyako" w:eastAsia="Times New Roman" w:hAnsi="Unikurd Diyako" w:cs="Unikurd Diyako"/>
          <w:kern w:val="36"/>
          <w:sz w:val="28"/>
          <w:szCs w:val="28"/>
          <w:rtl/>
        </w:rPr>
        <w:t>ج</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اواز</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٠،٩</w:t>
      </w:r>
      <w:r w:rsidRPr="007E6443">
        <w:rPr>
          <w:rFonts w:ascii="Unikurd Diyako" w:eastAsia="Times New Roman" w:hAnsi="Unikurd Diyako" w:cs="Unikurd Diyako"/>
          <w:kern w:val="36"/>
          <w:sz w:val="28"/>
          <w:szCs w:val="28"/>
          <w:rtl/>
        </w:rPr>
        <w:t xml:space="preserve">) </w:t>
      </w:r>
      <w:r w:rsidRPr="007E6443">
        <w:rPr>
          <w:rFonts w:ascii="Unikurd Diyako" w:eastAsia="Times New Roman" w:hAnsi="Unikurd Diyako" w:cs="Unikurd Diyako" w:hint="cs"/>
          <w:kern w:val="36"/>
          <w:sz w:val="28"/>
          <w:szCs w:val="28"/>
          <w:rtl/>
        </w:rPr>
        <w:t>یە</w:t>
      </w:r>
      <w:r w:rsidRPr="007E6443">
        <w:rPr>
          <w:rFonts w:ascii="Unikurd Diyako" w:eastAsia="Times New Roman" w:hAnsi="Unikurd Diyako" w:cs="Unikurd Diyako"/>
          <w:kern w:val="36"/>
          <w:sz w:val="28"/>
          <w:szCs w:val="28"/>
          <w:rtl/>
        </w:rPr>
        <w:t>. وات</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گروپ</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تو</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ژ</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ش</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ەیە</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کار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hint="eastAsia"/>
          <w:kern w:val="36"/>
          <w:sz w:val="28"/>
          <w:szCs w:val="28"/>
          <w:rtl/>
        </w:rPr>
        <w:t>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رتر</w:t>
      </w:r>
      <w:r w:rsidRPr="007E6443">
        <w:rPr>
          <w:rFonts w:ascii="Unikurd Diyako" w:eastAsia="Times New Roman" w:hAnsi="Unikurd Diyako" w:cs="Unikurd Diyako"/>
          <w:kern w:val="36"/>
          <w:sz w:val="28"/>
          <w:szCs w:val="28"/>
          <w:rtl/>
        </w:rPr>
        <w:t xml:space="preserve"> چار</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س</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kern w:val="36"/>
          <w:sz w:val="28"/>
          <w:szCs w:val="28"/>
          <w:rtl/>
        </w:rPr>
        <w:t xml:space="preserve"> 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کر</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ت</w:t>
      </w:r>
      <w:r w:rsidRPr="007E6443">
        <w:rPr>
          <w:rFonts w:ascii="Unikurd Diyako" w:eastAsia="Times New Roman" w:hAnsi="Unikurd Diyako" w:cs="Unikurd Diyako"/>
          <w:kern w:val="36"/>
          <w:sz w:val="28"/>
          <w:szCs w:val="28"/>
          <w:rtl/>
        </w:rPr>
        <w:t xml:space="preserve"> ل</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kern w:val="36"/>
          <w:sz w:val="28"/>
          <w:szCs w:val="28"/>
          <w:rtl/>
        </w:rPr>
        <w:t xml:space="preserve"> گروپ</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ک</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نتر</w:t>
      </w:r>
      <w:r w:rsidRPr="007E6443">
        <w:rPr>
          <w:rFonts w:ascii="Unikurd Diyako" w:eastAsia="Times New Roman" w:hAnsi="Unikurd Diyako" w:cs="Unikurd Diyako" w:hint="cs"/>
          <w:kern w:val="36"/>
          <w:sz w:val="28"/>
          <w:szCs w:val="28"/>
          <w:rtl/>
        </w:rPr>
        <w:t xml:space="preserve">ۆڵ.                                               </w:t>
      </w:r>
    </w:p>
    <w:p w:rsidR="007E6443" w:rsidRPr="007E6443" w:rsidRDefault="007E6443" w:rsidP="007E6443">
      <w:pPr>
        <w:spacing w:line="360" w:lineRule="auto"/>
        <w:jc w:val="both"/>
        <w:rPr>
          <w:rFonts w:ascii="Times New Roman" w:eastAsia="Calibri" w:hAnsi="Times New Roman" w:cs="Times New Roman"/>
          <w:sz w:val="24"/>
          <w:szCs w:val="24"/>
        </w:rPr>
      </w:pPr>
      <w:r w:rsidRPr="007E6443">
        <w:rPr>
          <w:rFonts w:ascii="Unikurd Diyako" w:eastAsia="Times New Roman" w:hAnsi="Unikurd Diyako" w:cs="Unikurd Diyako" w:hint="eastAsia"/>
          <w:b/>
          <w:bCs/>
          <w:kern w:val="36"/>
          <w:sz w:val="28"/>
          <w:szCs w:val="28"/>
          <w:rtl/>
        </w:rPr>
        <w:lastRenderedPageBreak/>
        <w:t>د</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ر</w:t>
      </w:r>
      <w:r w:rsidRPr="007E6443">
        <w:rPr>
          <w:rFonts w:ascii="Unikurd Diyako" w:eastAsia="Times New Roman" w:hAnsi="Unikurd Diyako" w:cs="Unikurd Diyako" w:hint="cs"/>
          <w:b/>
          <w:bCs/>
          <w:kern w:val="36"/>
          <w:sz w:val="28"/>
          <w:szCs w:val="28"/>
          <w:rtl/>
        </w:rPr>
        <w:t>ە</w:t>
      </w:r>
      <w:r w:rsidRPr="007E6443">
        <w:rPr>
          <w:rFonts w:ascii="Unikurd Diyako" w:eastAsia="Times New Roman" w:hAnsi="Unikurd Diyako" w:cs="Unikurd Diyako" w:hint="eastAsia"/>
          <w:b/>
          <w:bCs/>
          <w:kern w:val="36"/>
          <w:sz w:val="28"/>
          <w:szCs w:val="28"/>
          <w:rtl/>
        </w:rPr>
        <w:t>نجام</w:t>
      </w:r>
      <w:r w:rsidRPr="007E6443">
        <w:rPr>
          <w:rFonts w:ascii="Unikurd Diyako" w:eastAsia="Times New Roman" w:hAnsi="Unikurd Diyako" w:cs="Unikurd Diyako"/>
          <w:b/>
          <w:bCs/>
          <w:kern w:val="36"/>
          <w:sz w:val="28"/>
          <w:szCs w:val="28"/>
          <w:rtl/>
        </w:rPr>
        <w:t xml:space="preserve">: </w:t>
      </w:r>
      <w:r w:rsidRPr="007E6443">
        <w:rPr>
          <w:rFonts w:ascii="Unikurd Diyako" w:eastAsia="Times New Roman" w:hAnsi="Unikurd Diyako" w:cs="Unikurd Diyako"/>
          <w:kern w:val="36"/>
          <w:sz w:val="28"/>
          <w:szCs w:val="28"/>
          <w:rtl/>
        </w:rPr>
        <w:t>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مبوون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ئازار</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جومگ</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ژن</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hint="eastAsia"/>
          <w:kern w:val="36"/>
          <w:sz w:val="28"/>
          <w:szCs w:val="28"/>
          <w:rtl/>
        </w:rPr>
        <w:t>،</w:t>
      </w:r>
      <w:r w:rsidRPr="007E6443">
        <w:rPr>
          <w:rFonts w:ascii="Unikurd Diyako" w:eastAsia="Times New Roman" w:hAnsi="Unikurd Diyako" w:cs="Unikurd Diyako"/>
          <w:kern w:val="36"/>
          <w:sz w:val="28"/>
          <w:szCs w:val="28"/>
          <w:rtl/>
        </w:rPr>
        <w:t xml:space="preserve"> باشترکردن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چالاک</w:t>
      </w:r>
      <w:r w:rsidRPr="007E6443">
        <w:rPr>
          <w:rFonts w:ascii="Unikurd Diyako" w:eastAsia="Times New Roman" w:hAnsi="Unikurd Diyako" w:cs="Unikurd Diyako" w:hint="cs"/>
          <w:kern w:val="36"/>
          <w:sz w:val="28"/>
          <w:szCs w:val="28"/>
          <w:rtl/>
        </w:rPr>
        <w:t>ییە</w:t>
      </w:r>
      <w:r w:rsidRPr="007E6443">
        <w:rPr>
          <w:rFonts w:ascii="Unikurd Diyako" w:eastAsia="Times New Roman" w:hAnsi="Unikurd Diyako" w:cs="Unikurd Diyako"/>
          <w:kern w:val="36"/>
          <w:sz w:val="28"/>
          <w:szCs w:val="28"/>
          <w:rtl/>
        </w:rPr>
        <w:t xml:space="preserve"> ج</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ست</w:t>
      </w:r>
      <w:r w:rsidRPr="007E6443">
        <w:rPr>
          <w:rFonts w:ascii="Unikurd Diyako" w:eastAsia="Times New Roman" w:hAnsi="Unikurd Diyako" w:cs="Unikurd Diyako" w:hint="cs"/>
          <w:kern w:val="36"/>
          <w:sz w:val="28"/>
          <w:szCs w:val="28"/>
          <w:rtl/>
        </w:rPr>
        <w:t>ەییە</w:t>
      </w:r>
      <w:r w:rsidRPr="007E6443">
        <w:rPr>
          <w:rFonts w:ascii="Unikurd Diyako" w:eastAsia="Times New Roman" w:hAnsi="Unikurd Diyako" w:cs="Unikurd Diyako" w:hint="eastAsia"/>
          <w:kern w:val="36"/>
          <w:sz w:val="28"/>
          <w:szCs w:val="28"/>
          <w:rtl/>
        </w:rPr>
        <w:t>کان</w:t>
      </w:r>
      <w:r w:rsidRPr="007E6443">
        <w:rPr>
          <w:rFonts w:ascii="Unikurd Diyako" w:eastAsia="Times New Roman" w:hAnsi="Unikurd Diyako" w:cs="Unikurd Diyako"/>
          <w:kern w:val="36"/>
          <w:sz w:val="28"/>
          <w:szCs w:val="28"/>
          <w:rtl/>
        </w:rPr>
        <w:t xml:space="preserve"> و </w:t>
      </w:r>
      <w:r w:rsidRPr="007E6443">
        <w:rPr>
          <w:rFonts w:ascii="Unikurd Diyako" w:eastAsia="Times New Roman" w:hAnsi="Unikurd Diyako" w:cs="Unikurd Diyako" w:hint="cs"/>
          <w:kern w:val="36"/>
          <w:sz w:val="28"/>
          <w:szCs w:val="28"/>
          <w:rtl/>
        </w:rPr>
        <w:t>ڕێ</w:t>
      </w:r>
      <w:r w:rsidRPr="007E6443">
        <w:rPr>
          <w:rFonts w:ascii="Unikurd Diyako" w:eastAsia="Times New Roman" w:hAnsi="Unikurd Diyako" w:cs="Unikurd Diyako" w:hint="eastAsia"/>
          <w:kern w:val="36"/>
          <w:sz w:val="28"/>
          <w:szCs w:val="28"/>
          <w:rtl/>
        </w:rPr>
        <w:t>کخستن</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نا</w:t>
      </w:r>
      <w:r w:rsidRPr="007E6443">
        <w:rPr>
          <w:rFonts w:ascii="Unikurd Diyako" w:eastAsia="Times New Roman" w:hAnsi="Unikurd Diyako" w:cs="Unikurd Diyako" w:hint="cs"/>
          <w:kern w:val="36"/>
          <w:sz w:val="28"/>
          <w:szCs w:val="28"/>
          <w:rtl/>
        </w:rPr>
        <w:t>ڕێ</w:t>
      </w:r>
      <w:r w:rsidRPr="007E6443">
        <w:rPr>
          <w:rFonts w:ascii="Unikurd Diyako" w:eastAsia="Times New Roman" w:hAnsi="Unikurd Diyako" w:cs="Unikurd Diyako" w:hint="eastAsia"/>
          <w:kern w:val="36"/>
          <w:sz w:val="28"/>
          <w:szCs w:val="28"/>
          <w:rtl/>
        </w:rPr>
        <w:t>ک</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جومگ</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ئ</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ژن</w:t>
      </w:r>
      <w:r w:rsidRPr="007E6443">
        <w:rPr>
          <w:rFonts w:ascii="Unikurd Diyako" w:eastAsia="Times New Roman" w:hAnsi="Unikurd Diyako" w:cs="Unikurd Diyako" w:hint="cs"/>
          <w:kern w:val="36"/>
          <w:sz w:val="28"/>
          <w:szCs w:val="28"/>
          <w:rtl/>
        </w:rPr>
        <w:t>ۆ</w:t>
      </w:r>
      <w:r w:rsidRPr="007E6443">
        <w:rPr>
          <w:rFonts w:ascii="Unikurd Diyako" w:eastAsia="Times New Roman" w:hAnsi="Unikurd Diyako" w:cs="Unikurd Diyako"/>
          <w:kern w:val="36"/>
          <w:sz w:val="28"/>
          <w:szCs w:val="28"/>
          <w:rtl/>
        </w:rPr>
        <w:t xml:space="preserve"> دوا</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ب</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کاره</w:t>
      </w:r>
      <w:r w:rsidRPr="007E6443">
        <w:rPr>
          <w:rFonts w:ascii="Unikurd Diyako" w:eastAsia="Times New Roman" w:hAnsi="Unikurd Diyako" w:cs="Unikurd Diyako" w:hint="cs"/>
          <w:kern w:val="36"/>
          <w:sz w:val="28"/>
          <w:szCs w:val="28"/>
          <w:rtl/>
        </w:rPr>
        <w:t>ێ</w:t>
      </w:r>
      <w:r w:rsidRPr="007E6443">
        <w:rPr>
          <w:rFonts w:ascii="Unikurd Diyako" w:eastAsia="Times New Roman" w:hAnsi="Unikurd Diyako" w:cs="Unikurd Diyako" w:hint="eastAsia"/>
          <w:kern w:val="36"/>
          <w:sz w:val="28"/>
          <w:szCs w:val="28"/>
          <w:rtl/>
        </w:rPr>
        <w:t>نان</w:t>
      </w:r>
      <w:r w:rsidRPr="007E6443">
        <w:rPr>
          <w:rFonts w:ascii="Unikurd Diyako" w:eastAsia="Times New Roman" w:hAnsi="Unikurd Diyako" w:cs="Unikurd Diyako" w:hint="cs"/>
          <w:kern w:val="36"/>
          <w:sz w:val="28"/>
          <w:szCs w:val="28"/>
          <w:rtl/>
        </w:rPr>
        <w:t>ی</w:t>
      </w:r>
      <w:r w:rsidRPr="007E6443">
        <w:rPr>
          <w:rFonts w:ascii="Unikurd Diyako" w:eastAsia="Times New Roman" w:hAnsi="Unikurd Diyako" w:cs="Unikurd Diyako"/>
          <w:kern w:val="36"/>
          <w:sz w:val="28"/>
          <w:szCs w:val="28"/>
          <w:rtl/>
        </w:rPr>
        <w:t xml:space="preserve"> ک</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ف</w:t>
      </w:r>
      <w:r w:rsidRPr="007E6443">
        <w:rPr>
          <w:rFonts w:ascii="Unikurd Diyako" w:eastAsia="Times New Roman" w:hAnsi="Unikurd Diyako" w:cs="Unikurd Diyako" w:hint="cs"/>
          <w:kern w:val="36"/>
          <w:sz w:val="28"/>
          <w:szCs w:val="28"/>
          <w:rtl/>
        </w:rPr>
        <w:t>ەی</w:t>
      </w:r>
      <w:r w:rsidRPr="007E6443">
        <w:rPr>
          <w:rFonts w:ascii="Unikurd Diyako" w:eastAsia="Times New Roman" w:hAnsi="Unikurd Diyako" w:cs="Unikurd Diyako"/>
          <w:kern w:val="36"/>
          <w:sz w:val="28"/>
          <w:szCs w:val="28"/>
          <w:rtl/>
        </w:rPr>
        <w:t xml:space="preserve"> د</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ر</w:t>
      </w:r>
      <w:r w:rsidRPr="007E6443">
        <w:rPr>
          <w:rFonts w:ascii="Unikurd Diyako" w:eastAsia="Times New Roman" w:hAnsi="Unikurd Diyako" w:cs="Unikurd Diyako" w:hint="cs"/>
          <w:kern w:val="36"/>
          <w:sz w:val="28"/>
          <w:szCs w:val="28"/>
          <w:rtl/>
        </w:rPr>
        <w:t>ە</w:t>
      </w:r>
      <w:r w:rsidRPr="007E6443">
        <w:rPr>
          <w:rFonts w:ascii="Unikurd Diyako" w:eastAsia="Times New Roman" w:hAnsi="Unikurd Diyako" w:cs="Unikurd Diyako" w:hint="eastAsia"/>
          <w:kern w:val="36"/>
          <w:sz w:val="28"/>
          <w:szCs w:val="28"/>
          <w:rtl/>
        </w:rPr>
        <w:t>و</w:t>
      </w:r>
      <w:r w:rsidRPr="007E6443">
        <w:rPr>
          <w:rFonts w:ascii="Unikurd Diyako" w:eastAsia="Times New Roman" w:hAnsi="Unikurd Diyako" w:cs="Unikurd Diyako" w:hint="cs"/>
          <w:kern w:val="36"/>
          <w:sz w:val="28"/>
          <w:szCs w:val="28"/>
          <w:rtl/>
        </w:rPr>
        <w:t xml:space="preserve">ە.                       </w:t>
      </w:r>
    </w:p>
    <w:p w:rsidR="007E6443" w:rsidRPr="007E6443" w:rsidRDefault="007E6443" w:rsidP="007E6443">
      <w:pPr>
        <w:spacing w:line="360" w:lineRule="auto"/>
        <w:jc w:val="right"/>
        <w:rPr>
          <w:rFonts w:ascii="Times New Roman" w:eastAsia="Times New Roman" w:hAnsi="Times New Roman" w:cs="Times New Roman"/>
          <w:b/>
          <w:bCs/>
          <w:kern w:val="36"/>
          <w:sz w:val="24"/>
          <w:szCs w:val="24"/>
          <w:rtl/>
        </w:rPr>
      </w:pPr>
    </w:p>
    <w:p w:rsidR="007E6443" w:rsidRPr="007E6443" w:rsidRDefault="007E6443" w:rsidP="007E6443">
      <w:pPr>
        <w:spacing w:line="360" w:lineRule="auto"/>
        <w:jc w:val="center"/>
        <w:rPr>
          <w:rFonts w:ascii="Times New Roman" w:eastAsia="Times New Roman" w:hAnsi="Times New Roman" w:cs="Times New Roman"/>
          <w:kern w:val="36"/>
          <w:sz w:val="24"/>
          <w:szCs w:val="24"/>
          <w:rtl/>
        </w:rPr>
      </w:pPr>
    </w:p>
    <w:p w:rsidR="007E6443" w:rsidRPr="007E6443" w:rsidRDefault="007E6443" w:rsidP="007E6443">
      <w:pPr>
        <w:spacing w:line="360" w:lineRule="auto"/>
        <w:jc w:val="right"/>
        <w:rPr>
          <w:rFonts w:ascii="Times New Roman" w:eastAsia="Times New Roman" w:hAnsi="Times New Roman" w:cs="Times New Roman"/>
          <w:kern w:val="36"/>
          <w:sz w:val="24"/>
          <w:szCs w:val="24"/>
        </w:rPr>
      </w:pPr>
    </w:p>
    <w:p w:rsidR="007E6443" w:rsidRPr="007E6443" w:rsidRDefault="007E6443" w:rsidP="007E6443">
      <w:pPr>
        <w:spacing w:line="360" w:lineRule="auto"/>
        <w:jc w:val="right"/>
        <w:rPr>
          <w:rFonts w:ascii="Times New Roman" w:eastAsia="Times New Roman" w:hAnsi="Times New Roman" w:cs="Times New Roman"/>
          <w:kern w:val="36"/>
          <w:sz w:val="24"/>
          <w:szCs w:val="24"/>
        </w:rPr>
      </w:pPr>
    </w:p>
    <w:p w:rsidR="007E6443" w:rsidRPr="007E6443" w:rsidRDefault="007E6443" w:rsidP="007E6443">
      <w:pPr>
        <w:spacing w:line="360" w:lineRule="auto"/>
        <w:jc w:val="right"/>
        <w:rPr>
          <w:rFonts w:ascii="Times New Roman" w:eastAsia="Times New Roman" w:hAnsi="Times New Roman" w:cs="Times New Roman"/>
          <w:kern w:val="36"/>
          <w:sz w:val="24"/>
          <w:szCs w:val="24"/>
        </w:rPr>
      </w:pPr>
    </w:p>
    <w:p w:rsidR="007E6443" w:rsidRPr="007E6443" w:rsidRDefault="007E6443" w:rsidP="007E6443">
      <w:pPr>
        <w:spacing w:line="360" w:lineRule="auto"/>
        <w:jc w:val="right"/>
        <w:rPr>
          <w:rFonts w:ascii="Times New Roman" w:eastAsia="Times New Roman" w:hAnsi="Times New Roman" w:cs="Times New Roman"/>
          <w:kern w:val="36"/>
          <w:sz w:val="24"/>
          <w:szCs w:val="24"/>
        </w:rPr>
      </w:pPr>
    </w:p>
    <w:p w:rsidR="007E6443" w:rsidRPr="007E6443" w:rsidRDefault="007E6443" w:rsidP="007E6443">
      <w:pPr>
        <w:spacing w:line="360" w:lineRule="auto"/>
        <w:jc w:val="right"/>
        <w:rPr>
          <w:rFonts w:ascii="Times New Roman" w:eastAsia="Times New Roman" w:hAnsi="Times New Roman" w:cs="Times New Roman"/>
          <w:kern w:val="36"/>
          <w:sz w:val="24"/>
          <w:szCs w:val="24"/>
        </w:rPr>
      </w:pPr>
    </w:p>
    <w:p w:rsidR="007E6443" w:rsidRPr="007E6443" w:rsidRDefault="007E6443" w:rsidP="007E6443">
      <w:pPr>
        <w:spacing w:line="360" w:lineRule="auto"/>
        <w:jc w:val="right"/>
        <w:rPr>
          <w:rFonts w:ascii="Times New Roman" w:eastAsia="Times New Roman" w:hAnsi="Times New Roman" w:cs="Times New Roman"/>
          <w:kern w:val="36"/>
          <w:sz w:val="24"/>
          <w:szCs w:val="24"/>
        </w:rPr>
      </w:pPr>
    </w:p>
    <w:p w:rsidR="007E6443" w:rsidRPr="007E6443" w:rsidRDefault="007E6443" w:rsidP="007E6443">
      <w:pPr>
        <w:spacing w:line="360" w:lineRule="auto"/>
        <w:jc w:val="right"/>
        <w:rPr>
          <w:rFonts w:ascii="Times New Roman" w:eastAsia="Times New Roman" w:hAnsi="Times New Roman" w:cs="Times New Roman"/>
          <w:kern w:val="36"/>
          <w:sz w:val="24"/>
          <w:szCs w:val="24"/>
        </w:rPr>
      </w:pPr>
    </w:p>
    <w:p w:rsidR="007E6443" w:rsidRPr="007E6443" w:rsidRDefault="007E6443" w:rsidP="007E6443">
      <w:pPr>
        <w:spacing w:line="360" w:lineRule="auto"/>
        <w:jc w:val="right"/>
        <w:rPr>
          <w:rFonts w:ascii="Times New Roman" w:eastAsia="Times New Roman" w:hAnsi="Times New Roman" w:cs="Times New Roman"/>
          <w:kern w:val="36"/>
          <w:sz w:val="24"/>
          <w:szCs w:val="24"/>
          <w:rtl/>
        </w:rPr>
      </w:pPr>
    </w:p>
    <w:p w:rsidR="007E6443" w:rsidRPr="007E6443" w:rsidRDefault="007E6443" w:rsidP="007E6443">
      <w:pPr>
        <w:spacing w:line="360" w:lineRule="auto"/>
        <w:jc w:val="right"/>
        <w:rPr>
          <w:rFonts w:ascii="Times New Roman" w:eastAsia="Times New Roman" w:hAnsi="Times New Roman" w:cs="Times New Roman"/>
          <w:kern w:val="36"/>
          <w:sz w:val="24"/>
          <w:szCs w:val="24"/>
          <w:rtl/>
        </w:rPr>
      </w:pPr>
    </w:p>
    <w:p w:rsidR="007E6443" w:rsidRPr="007E6443" w:rsidRDefault="007E6443" w:rsidP="007E6443">
      <w:pPr>
        <w:spacing w:line="360" w:lineRule="auto"/>
        <w:jc w:val="center"/>
        <w:rPr>
          <w:rFonts w:ascii="Times New Roman" w:eastAsia="Times New Roman" w:hAnsi="Times New Roman" w:cs="Times New Roman"/>
          <w:kern w:val="36"/>
          <w:sz w:val="24"/>
          <w:szCs w:val="24"/>
          <w:rtl/>
        </w:rPr>
      </w:pPr>
    </w:p>
    <w:p w:rsidR="007E6443" w:rsidRPr="007E6443" w:rsidRDefault="007E6443" w:rsidP="007E6443">
      <w:pPr>
        <w:spacing w:line="360" w:lineRule="auto"/>
        <w:jc w:val="center"/>
        <w:rPr>
          <w:rFonts w:ascii="Times New Roman" w:eastAsia="Times New Roman" w:hAnsi="Times New Roman" w:cs="Times New Roman"/>
          <w:kern w:val="36"/>
          <w:sz w:val="24"/>
          <w:szCs w:val="24"/>
          <w:rtl/>
        </w:rPr>
      </w:pPr>
    </w:p>
    <w:p w:rsidR="007E6443" w:rsidRPr="007E6443" w:rsidRDefault="007E6443" w:rsidP="007E6443">
      <w:pPr>
        <w:spacing w:line="360" w:lineRule="auto"/>
        <w:jc w:val="center"/>
        <w:rPr>
          <w:rFonts w:ascii="Times New Roman" w:eastAsia="Times New Roman" w:hAnsi="Times New Roman" w:cs="Times New Roman"/>
          <w:kern w:val="36"/>
          <w:sz w:val="24"/>
          <w:szCs w:val="24"/>
          <w:rtl/>
        </w:rPr>
      </w:pPr>
    </w:p>
    <w:p w:rsidR="007E6443" w:rsidRPr="007E6443" w:rsidRDefault="007E6443" w:rsidP="007E6443">
      <w:pPr>
        <w:spacing w:line="360" w:lineRule="auto"/>
        <w:jc w:val="center"/>
        <w:rPr>
          <w:rFonts w:ascii="Times New Roman" w:eastAsia="Times New Roman" w:hAnsi="Times New Roman" w:cs="Times New Roman"/>
          <w:kern w:val="36"/>
          <w:sz w:val="24"/>
          <w:szCs w:val="24"/>
          <w:rtl/>
        </w:rPr>
      </w:pPr>
    </w:p>
    <w:p w:rsidR="007E6443" w:rsidRPr="007E6443" w:rsidRDefault="007E6443" w:rsidP="007E6443">
      <w:pPr>
        <w:spacing w:line="360" w:lineRule="auto"/>
        <w:jc w:val="center"/>
        <w:rPr>
          <w:rFonts w:ascii="Times New Roman" w:eastAsia="Times New Roman" w:hAnsi="Times New Roman" w:cs="Times New Roman"/>
          <w:kern w:val="36"/>
          <w:sz w:val="24"/>
          <w:szCs w:val="24"/>
          <w:rtl/>
        </w:rPr>
      </w:pPr>
    </w:p>
    <w:p w:rsidR="007E6443" w:rsidRPr="007E6443" w:rsidRDefault="007E6443" w:rsidP="007E6443">
      <w:pPr>
        <w:spacing w:line="360" w:lineRule="auto"/>
        <w:jc w:val="right"/>
        <w:rPr>
          <w:rFonts w:ascii="Times New Roman" w:eastAsia="Times New Roman" w:hAnsi="Times New Roman" w:cs="Times New Roman"/>
          <w:kern w:val="36"/>
          <w:sz w:val="24"/>
          <w:szCs w:val="24"/>
          <w:rtl/>
        </w:rPr>
      </w:pPr>
    </w:p>
    <w:p w:rsidR="007E6443" w:rsidRPr="007E6443" w:rsidRDefault="007E6443" w:rsidP="007E6443">
      <w:pPr>
        <w:spacing w:line="360" w:lineRule="auto"/>
        <w:jc w:val="right"/>
        <w:rPr>
          <w:rFonts w:ascii="Times New Roman" w:eastAsia="Times New Roman" w:hAnsi="Times New Roman" w:cs="Times New Roman"/>
          <w:kern w:val="36"/>
          <w:sz w:val="24"/>
          <w:szCs w:val="24"/>
          <w:rtl/>
        </w:rPr>
      </w:pPr>
    </w:p>
    <w:p w:rsidR="007E6443" w:rsidRPr="007E6443" w:rsidRDefault="007E6443" w:rsidP="007E6443">
      <w:pPr>
        <w:spacing w:line="360" w:lineRule="auto"/>
        <w:jc w:val="right"/>
        <w:rPr>
          <w:rFonts w:ascii="Times New Roman" w:eastAsia="Times New Roman" w:hAnsi="Times New Roman" w:cs="Times New Roman"/>
          <w:kern w:val="36"/>
          <w:sz w:val="24"/>
          <w:szCs w:val="24"/>
          <w:rtl/>
        </w:rPr>
      </w:pPr>
    </w:p>
    <w:p w:rsidR="007E6443" w:rsidRPr="007E6443" w:rsidRDefault="007E6443" w:rsidP="007E6443">
      <w:pPr>
        <w:spacing w:line="360" w:lineRule="auto"/>
        <w:jc w:val="right"/>
        <w:rPr>
          <w:rFonts w:ascii="Times New Roman" w:eastAsia="Times New Roman" w:hAnsi="Times New Roman" w:cs="Times New Roman"/>
          <w:kern w:val="36"/>
          <w:sz w:val="24"/>
          <w:szCs w:val="24"/>
        </w:rPr>
      </w:pPr>
    </w:p>
    <w:p w:rsidR="007E6443" w:rsidRPr="007E6443" w:rsidRDefault="007E6443" w:rsidP="007E6443">
      <w:pPr>
        <w:spacing w:line="360" w:lineRule="auto"/>
        <w:rPr>
          <w:rFonts w:ascii="Times New Roman" w:eastAsia="Times New Roman" w:hAnsi="Times New Roman" w:cs="Times New Roman"/>
          <w:kern w:val="36"/>
          <w:sz w:val="24"/>
          <w:szCs w:val="24"/>
        </w:rPr>
      </w:pPr>
    </w:p>
    <w:p w:rsidR="007E6443" w:rsidRPr="007E6443" w:rsidRDefault="007E6443" w:rsidP="007E6443">
      <w:pPr>
        <w:spacing w:line="360" w:lineRule="auto"/>
        <w:jc w:val="center"/>
        <w:rPr>
          <w:rFonts w:ascii="Times New Roman" w:eastAsia="Times New Roman" w:hAnsi="Times New Roman" w:cs="Times New Roman"/>
          <w:kern w:val="36"/>
          <w:sz w:val="24"/>
          <w:szCs w:val="24"/>
        </w:rPr>
      </w:pPr>
      <w:r w:rsidRPr="007E6443">
        <w:rPr>
          <w:rFonts w:ascii="Times New Roman" w:eastAsia="Calibri" w:hAnsi="Times New Roman" w:cs="Times New Roman"/>
          <w:noProof/>
          <w:sz w:val="28"/>
          <w:szCs w:val="28"/>
        </w:rPr>
        <w:lastRenderedPageBreak/>
        <w:drawing>
          <wp:inline distT="0" distB="0" distL="0" distR="0" wp14:anchorId="69C6ED93" wp14:editId="0F950D80">
            <wp:extent cx="2965407" cy="850830"/>
            <wp:effectExtent l="0" t="0" r="0" b="0"/>
            <wp:docPr id="28" name="image11.png" descr="G:\epu logo new text final.jpg"/>
            <wp:cNvGraphicFramePr/>
            <a:graphic xmlns:a="http://schemas.openxmlformats.org/drawingml/2006/main">
              <a:graphicData uri="http://schemas.openxmlformats.org/drawingml/2006/picture">
                <pic:pic xmlns:pic="http://schemas.openxmlformats.org/drawingml/2006/picture">
                  <pic:nvPicPr>
                    <pic:cNvPr id="0" name="image11.png" descr="G:\epu logo new text final.jpg"/>
                    <pic:cNvPicPr preferRelativeResize="0"/>
                  </pic:nvPicPr>
                  <pic:blipFill>
                    <a:blip r:embed="rId25"/>
                    <a:srcRect/>
                    <a:stretch>
                      <a:fillRect/>
                    </a:stretch>
                  </pic:blipFill>
                  <pic:spPr>
                    <a:xfrm>
                      <a:off x="0" y="0"/>
                      <a:ext cx="2965407" cy="850830"/>
                    </a:xfrm>
                    <a:prstGeom prst="rect">
                      <a:avLst/>
                    </a:prstGeom>
                    <a:ln/>
                  </pic:spPr>
                </pic:pic>
              </a:graphicData>
            </a:graphic>
          </wp:inline>
        </w:drawing>
      </w:r>
    </w:p>
    <w:p w:rsidR="007E6443" w:rsidRPr="007E6443" w:rsidRDefault="007E6443" w:rsidP="007E6443">
      <w:pPr>
        <w:spacing w:line="360" w:lineRule="auto"/>
        <w:jc w:val="center"/>
        <w:rPr>
          <w:rFonts w:ascii="Times New Roman" w:eastAsia="Times New Roman" w:hAnsi="Times New Roman" w:cs="Times New Roman"/>
          <w:kern w:val="36"/>
          <w:sz w:val="24"/>
          <w:szCs w:val="24"/>
        </w:rPr>
      </w:pPr>
    </w:p>
    <w:p w:rsidR="007E6443" w:rsidRPr="007E6443" w:rsidRDefault="007E6443" w:rsidP="007E6443">
      <w:pPr>
        <w:jc w:val="center"/>
        <w:rPr>
          <w:rFonts w:ascii="Ali" w:eastAsia="Calibri" w:hAnsi="Ali" w:cs="Ali-A-Traditional"/>
          <w:sz w:val="32"/>
          <w:szCs w:val="32"/>
          <w:rtl/>
        </w:rPr>
      </w:pPr>
      <w:r w:rsidRPr="007E6443">
        <w:rPr>
          <w:rFonts w:ascii="Ali" w:eastAsia="Calibri" w:hAnsi="Ali" w:cs="Ali-A-Traditional"/>
          <w:sz w:val="32"/>
          <w:szCs w:val="32"/>
          <w:rtl/>
        </w:rPr>
        <w:t>دور المحاذاة الميكانيكية الحيوية في علاج التهاب مفاصل الركبة</w:t>
      </w:r>
    </w:p>
    <w:p w:rsidR="007E6443" w:rsidRPr="007E6443" w:rsidRDefault="007E6443" w:rsidP="007E6443">
      <w:pPr>
        <w:jc w:val="center"/>
        <w:rPr>
          <w:rFonts w:ascii="Ali" w:eastAsia="Calibri" w:hAnsi="Ali" w:cs="Ali-A-Traditional"/>
          <w:sz w:val="32"/>
          <w:szCs w:val="32"/>
        </w:rPr>
      </w:pPr>
    </w:p>
    <w:p w:rsidR="007E6443" w:rsidRPr="007E6443" w:rsidRDefault="007E6443" w:rsidP="007E6443">
      <w:pPr>
        <w:jc w:val="center"/>
        <w:rPr>
          <w:rFonts w:ascii="Ali" w:eastAsia="Calibri" w:hAnsi="Ali" w:cs="Ali-A-Traditional"/>
          <w:sz w:val="32"/>
          <w:szCs w:val="32"/>
          <w:rtl/>
        </w:rPr>
      </w:pPr>
    </w:p>
    <w:p w:rsidR="007E6443" w:rsidRPr="007E6443" w:rsidRDefault="007E6443" w:rsidP="007E6443">
      <w:pPr>
        <w:jc w:val="center"/>
        <w:rPr>
          <w:rFonts w:ascii="Ali" w:eastAsia="Calibri" w:hAnsi="Ali" w:cs="Ali-A-Traditional"/>
          <w:sz w:val="32"/>
          <w:szCs w:val="32"/>
        </w:rPr>
      </w:pPr>
      <w:r w:rsidRPr="007E6443">
        <w:rPr>
          <w:rFonts w:ascii="Ali" w:eastAsia="Calibri" w:hAnsi="Ali" w:cs="Ali-A-Traditional"/>
          <w:sz w:val="32"/>
          <w:szCs w:val="32"/>
          <w:rtl/>
        </w:rPr>
        <w:t>الاطروحة</w:t>
      </w:r>
    </w:p>
    <w:p w:rsidR="007E6443" w:rsidRPr="007E6443" w:rsidRDefault="007E6443" w:rsidP="007E6443">
      <w:pPr>
        <w:jc w:val="center"/>
        <w:rPr>
          <w:rFonts w:ascii="Ali" w:eastAsia="Calibri" w:hAnsi="Ali" w:cs="Ali-A-Traditional"/>
          <w:sz w:val="32"/>
          <w:szCs w:val="32"/>
        </w:rPr>
      </w:pPr>
    </w:p>
    <w:p w:rsidR="007E6443" w:rsidRPr="007E6443" w:rsidRDefault="007E6443" w:rsidP="007E6443">
      <w:pPr>
        <w:jc w:val="center"/>
        <w:rPr>
          <w:rFonts w:ascii="Ali" w:eastAsia="Calibri" w:hAnsi="Ali" w:cs="Ali-A-Traditional"/>
          <w:sz w:val="32"/>
          <w:szCs w:val="32"/>
          <w:rtl/>
        </w:rPr>
      </w:pPr>
      <w:r w:rsidRPr="007E6443">
        <w:rPr>
          <w:rFonts w:ascii="Ali" w:eastAsia="Calibri" w:hAnsi="Ali" w:cs="Ali-A-Traditional"/>
          <w:sz w:val="32"/>
          <w:szCs w:val="32"/>
          <w:rtl/>
        </w:rPr>
        <w:t>مقدم</w:t>
      </w:r>
      <w:r w:rsidRPr="007E6443">
        <w:rPr>
          <w:rFonts w:ascii="Ali" w:eastAsia="Calibri" w:hAnsi="Ali" w:cs="Ali-A-Traditional"/>
          <w:sz w:val="32"/>
          <w:szCs w:val="32"/>
          <w:rtl/>
          <w:lang w:bidi="ar-OM"/>
        </w:rPr>
        <w:t>ة</w:t>
      </w:r>
      <w:r w:rsidRPr="007E6443">
        <w:rPr>
          <w:rFonts w:ascii="Ali" w:eastAsia="Calibri" w:hAnsi="Ali" w:cs="Ali-A-Traditional"/>
          <w:sz w:val="32"/>
          <w:szCs w:val="32"/>
          <w:rtl/>
        </w:rPr>
        <w:t xml:space="preserve"> إلى مجلس كلية التق</w:t>
      </w:r>
      <w:r w:rsidRPr="007E6443">
        <w:rPr>
          <w:rFonts w:ascii="Ali" w:eastAsia="Calibri" w:hAnsi="Ali" w:cs="Ali-A-Traditional" w:hint="cs"/>
          <w:sz w:val="32"/>
          <w:szCs w:val="32"/>
          <w:rtl/>
          <w:lang w:bidi="ar-IQ"/>
        </w:rPr>
        <w:t>ييه</w:t>
      </w:r>
      <w:r w:rsidRPr="007E6443">
        <w:rPr>
          <w:rFonts w:ascii="Times New Roman" w:eastAsia="Calibri" w:hAnsi="Times New Roman" w:cs="Times New Roman" w:hint="cs"/>
          <w:sz w:val="32"/>
          <w:szCs w:val="32"/>
          <w:rtl/>
        </w:rPr>
        <w:t xml:space="preserve"> </w:t>
      </w:r>
      <w:r w:rsidRPr="007E6443">
        <w:rPr>
          <w:rFonts w:ascii="Ali" w:eastAsia="Calibri" w:hAnsi="Ali" w:cs="Ali-A-Traditional" w:hint="cs"/>
          <w:sz w:val="32"/>
          <w:szCs w:val="32"/>
          <w:rtl/>
        </w:rPr>
        <w:t xml:space="preserve">الصحيه </w:t>
      </w:r>
      <w:r w:rsidRPr="007E6443">
        <w:rPr>
          <w:rFonts w:ascii="Ali" w:eastAsia="Calibri" w:hAnsi="Ali" w:cs="Ali-A-Traditional"/>
          <w:sz w:val="32"/>
          <w:szCs w:val="32"/>
          <w:rtl/>
        </w:rPr>
        <w:t xml:space="preserve"> الطبية </w:t>
      </w:r>
      <w:r w:rsidRPr="007E6443">
        <w:rPr>
          <w:rFonts w:ascii="Ali" w:eastAsia="Calibri" w:hAnsi="Ali" w:cs="Ali-A-Traditional" w:hint="cs"/>
          <w:sz w:val="32"/>
          <w:szCs w:val="32"/>
          <w:rtl/>
        </w:rPr>
        <w:t>في</w:t>
      </w:r>
      <w:r w:rsidRPr="007E6443">
        <w:rPr>
          <w:rFonts w:ascii="Ali" w:eastAsia="Calibri" w:hAnsi="Ali" w:cs="Ali-A-Traditional"/>
          <w:sz w:val="32"/>
          <w:szCs w:val="32"/>
          <w:rtl/>
        </w:rPr>
        <w:t xml:space="preserve"> </w:t>
      </w:r>
      <w:r w:rsidRPr="007E6443">
        <w:rPr>
          <w:rFonts w:ascii="Ali" w:eastAsia="Calibri" w:hAnsi="Ali" w:cs="Ali-A-Traditional" w:hint="cs"/>
          <w:sz w:val="32"/>
          <w:szCs w:val="32"/>
          <w:rtl/>
        </w:rPr>
        <w:t>جامعة</w:t>
      </w:r>
      <w:r w:rsidRPr="007E6443">
        <w:rPr>
          <w:rFonts w:ascii="Ali" w:eastAsia="Calibri" w:hAnsi="Ali" w:cs="Ali-A-Traditional"/>
          <w:sz w:val="32"/>
          <w:szCs w:val="32"/>
          <w:rtl/>
        </w:rPr>
        <w:t xml:space="preserve"> </w:t>
      </w:r>
      <w:r w:rsidRPr="007E6443">
        <w:rPr>
          <w:rFonts w:ascii="Ali" w:eastAsia="Calibri" w:hAnsi="Ali" w:cs="Ali-A-Traditional" w:hint="cs"/>
          <w:sz w:val="32"/>
          <w:szCs w:val="32"/>
          <w:rtl/>
        </w:rPr>
        <w:t>اربيل</w:t>
      </w:r>
      <w:r w:rsidRPr="007E6443">
        <w:rPr>
          <w:rFonts w:ascii="Ali" w:eastAsia="Calibri" w:hAnsi="Ali" w:cs="Ali-A-Traditional"/>
          <w:sz w:val="32"/>
          <w:szCs w:val="32"/>
          <w:rtl/>
        </w:rPr>
        <w:t xml:space="preserve"> </w:t>
      </w:r>
      <w:r w:rsidRPr="007E6443">
        <w:rPr>
          <w:rFonts w:ascii="Ali" w:eastAsia="Calibri" w:hAnsi="Ali" w:cs="Ali-A-Traditional" w:hint="cs"/>
          <w:sz w:val="32"/>
          <w:szCs w:val="32"/>
          <w:rtl/>
        </w:rPr>
        <w:t>التقنيه</w:t>
      </w:r>
      <w:r w:rsidRPr="007E6443">
        <w:rPr>
          <w:rFonts w:ascii="Ali" w:eastAsia="Calibri" w:hAnsi="Ali" w:cs="Ali-A-Traditional"/>
          <w:sz w:val="32"/>
          <w:szCs w:val="32"/>
          <w:rtl/>
        </w:rPr>
        <w:t xml:space="preserve">  و</w:t>
      </w:r>
      <w:r w:rsidRPr="007E6443">
        <w:rPr>
          <w:rFonts w:ascii="Ali" w:eastAsia="Calibri" w:hAnsi="Ali" w:cs="Ali-A-Traditional" w:hint="cs"/>
          <w:sz w:val="32"/>
          <w:szCs w:val="32"/>
          <w:rtl/>
        </w:rPr>
        <w:t>هي</w:t>
      </w:r>
      <w:r w:rsidRPr="007E6443">
        <w:rPr>
          <w:rFonts w:ascii="Ali" w:eastAsia="Calibri" w:hAnsi="Ali" w:cs="Ali-A-Traditional"/>
          <w:sz w:val="32"/>
          <w:szCs w:val="32"/>
          <w:rtl/>
        </w:rPr>
        <w:t xml:space="preserve"> </w:t>
      </w:r>
      <w:r w:rsidRPr="007E6443">
        <w:rPr>
          <w:rFonts w:ascii="Ali" w:eastAsia="Calibri" w:hAnsi="Ali" w:cs="Ali-A-Traditional" w:hint="cs"/>
          <w:sz w:val="32"/>
          <w:szCs w:val="32"/>
          <w:rtl/>
        </w:rPr>
        <w:t>جزء</w:t>
      </w:r>
      <w:r w:rsidRPr="007E6443">
        <w:rPr>
          <w:rFonts w:ascii="Ali" w:eastAsia="Calibri" w:hAnsi="Ali" w:cs="Ali-A-Traditional"/>
          <w:sz w:val="32"/>
          <w:szCs w:val="32"/>
          <w:rtl/>
        </w:rPr>
        <w:t xml:space="preserve"> </w:t>
      </w:r>
      <w:r w:rsidRPr="007E6443">
        <w:rPr>
          <w:rFonts w:ascii="Ali" w:eastAsia="Calibri" w:hAnsi="Ali" w:cs="Ali-A-Traditional" w:hint="cs"/>
          <w:sz w:val="32"/>
          <w:szCs w:val="32"/>
          <w:rtl/>
        </w:rPr>
        <w:t>من</w:t>
      </w:r>
      <w:r w:rsidRPr="007E6443">
        <w:rPr>
          <w:rFonts w:ascii="Ali" w:eastAsia="Calibri" w:hAnsi="Ali" w:cs="Ali-A-Traditional"/>
          <w:sz w:val="32"/>
          <w:szCs w:val="32"/>
          <w:rtl/>
        </w:rPr>
        <w:t xml:space="preserve"> متطلبات </w:t>
      </w:r>
      <w:r w:rsidRPr="007E6443">
        <w:rPr>
          <w:rFonts w:ascii="Ali" w:eastAsia="Calibri" w:hAnsi="Ali" w:cs="Ali-A-Traditional" w:hint="cs"/>
          <w:sz w:val="32"/>
          <w:szCs w:val="32"/>
          <w:rtl/>
        </w:rPr>
        <w:t>نيل</w:t>
      </w:r>
      <w:r w:rsidRPr="007E6443">
        <w:rPr>
          <w:rFonts w:ascii="Ali" w:eastAsia="Calibri" w:hAnsi="Ali" w:cs="Ali-A-Traditional"/>
          <w:sz w:val="32"/>
          <w:szCs w:val="32"/>
          <w:rtl/>
        </w:rPr>
        <w:t xml:space="preserve"> </w:t>
      </w:r>
      <w:r w:rsidRPr="007E6443">
        <w:rPr>
          <w:rFonts w:ascii="Ali" w:eastAsia="Calibri" w:hAnsi="Ali" w:cs="Ali-A-Traditional" w:hint="cs"/>
          <w:sz w:val="32"/>
          <w:szCs w:val="32"/>
          <w:rtl/>
        </w:rPr>
        <w:t>شهادة</w:t>
      </w:r>
      <w:r w:rsidRPr="007E6443">
        <w:rPr>
          <w:rFonts w:ascii="Ali" w:eastAsia="Calibri" w:hAnsi="Ali" w:cs="Ali-A-Traditional"/>
          <w:sz w:val="32"/>
          <w:szCs w:val="32"/>
          <w:rtl/>
        </w:rPr>
        <w:t xml:space="preserve"> الماجستير في اختصاص العلاج الطبيعي</w:t>
      </w:r>
    </w:p>
    <w:p w:rsidR="007E6443" w:rsidRPr="007E6443" w:rsidRDefault="007E6443" w:rsidP="007E6443">
      <w:pPr>
        <w:jc w:val="center"/>
        <w:rPr>
          <w:rFonts w:ascii="Ali" w:eastAsia="Calibri" w:hAnsi="Ali" w:cs="Ali-A-Traditional"/>
          <w:sz w:val="32"/>
          <w:szCs w:val="32"/>
          <w:rtl/>
        </w:rPr>
      </w:pPr>
    </w:p>
    <w:p w:rsidR="007E6443" w:rsidRPr="007E6443" w:rsidRDefault="007E6443" w:rsidP="007E6443">
      <w:pPr>
        <w:spacing w:line="276" w:lineRule="auto"/>
        <w:jc w:val="center"/>
        <w:rPr>
          <w:rFonts w:ascii="Ali" w:eastAsia="Calibri" w:hAnsi="Ali" w:cs="Ali-A-Traditional"/>
          <w:sz w:val="32"/>
          <w:szCs w:val="32"/>
          <w:rtl/>
          <w:lang w:bidi="ar-OM"/>
        </w:rPr>
      </w:pPr>
      <w:r w:rsidRPr="007E6443">
        <w:rPr>
          <w:rFonts w:ascii="Ali" w:eastAsia="Calibri" w:hAnsi="Ali" w:cs="Ali-A-Traditional"/>
          <w:sz w:val="32"/>
          <w:szCs w:val="32"/>
          <w:rtl/>
        </w:rPr>
        <w:t>من قبل</w:t>
      </w:r>
    </w:p>
    <w:p w:rsidR="007E6443" w:rsidRPr="007E6443" w:rsidRDefault="007E6443" w:rsidP="007E6443">
      <w:pPr>
        <w:spacing w:line="276" w:lineRule="auto"/>
        <w:jc w:val="center"/>
        <w:rPr>
          <w:rFonts w:ascii="Ali" w:eastAsia="Calibri" w:hAnsi="Ali" w:cs="Ali-A-Traditional"/>
          <w:sz w:val="32"/>
          <w:szCs w:val="32"/>
          <w:rtl/>
        </w:rPr>
      </w:pPr>
      <w:r w:rsidRPr="007E6443">
        <w:rPr>
          <w:rFonts w:ascii="Ali" w:eastAsia="Calibri" w:hAnsi="Ali" w:cs="Ali-A-Traditional" w:hint="cs"/>
          <w:sz w:val="32"/>
          <w:szCs w:val="32"/>
          <w:rtl/>
        </w:rPr>
        <w:t>محمد جليل عمر</w:t>
      </w:r>
    </w:p>
    <w:p w:rsidR="007E6443" w:rsidRPr="007E6443" w:rsidRDefault="007E6443" w:rsidP="007E6443">
      <w:pPr>
        <w:spacing w:line="276" w:lineRule="auto"/>
        <w:jc w:val="center"/>
        <w:rPr>
          <w:rFonts w:ascii="Ali" w:eastAsia="Calibri" w:hAnsi="Ali" w:cs="Ali-A-Traditional"/>
          <w:sz w:val="28"/>
          <w:szCs w:val="28"/>
          <w:lang w:bidi="ar-OM"/>
        </w:rPr>
      </w:pPr>
      <w:r w:rsidRPr="007E6443">
        <w:rPr>
          <w:rFonts w:ascii="Ali" w:eastAsia="Calibri" w:hAnsi="Ali" w:cs="Ali-A-Traditional" w:hint="cs"/>
          <w:sz w:val="32"/>
          <w:szCs w:val="32"/>
          <w:rtl/>
        </w:rPr>
        <w:t>بكا</w:t>
      </w:r>
      <w:r w:rsidRPr="007E6443">
        <w:rPr>
          <w:rFonts w:ascii="Ali" w:eastAsia="Calibri" w:hAnsi="Ali" w:cs="Ali-A-Traditional"/>
          <w:sz w:val="32"/>
          <w:szCs w:val="32"/>
          <w:rtl/>
        </w:rPr>
        <w:t xml:space="preserve">لوروس </w:t>
      </w:r>
      <w:r w:rsidRPr="007E6443">
        <w:rPr>
          <w:rFonts w:ascii="Ali" w:eastAsia="Calibri" w:hAnsi="Ali" w:cs="Ali-A-Traditional" w:hint="cs"/>
          <w:sz w:val="32"/>
          <w:szCs w:val="32"/>
          <w:rtl/>
        </w:rPr>
        <w:t>في</w:t>
      </w:r>
      <w:r w:rsidRPr="007E6443">
        <w:rPr>
          <w:rFonts w:ascii="Ali" w:eastAsia="Calibri" w:hAnsi="Ali" w:cs="Ali-A-Traditional"/>
          <w:sz w:val="32"/>
          <w:szCs w:val="32"/>
          <w:rtl/>
        </w:rPr>
        <w:t xml:space="preserve">  </w:t>
      </w:r>
      <w:r w:rsidRPr="007E6443">
        <w:rPr>
          <w:rFonts w:ascii="Ali" w:eastAsia="Calibri" w:hAnsi="Ali" w:cs="Ali-A-Traditional" w:hint="cs"/>
          <w:sz w:val="32"/>
          <w:szCs w:val="32"/>
          <w:rtl/>
        </w:rPr>
        <w:t>ال</w:t>
      </w:r>
      <w:r w:rsidRPr="007E6443">
        <w:rPr>
          <w:rFonts w:ascii="Ali" w:eastAsia="Calibri" w:hAnsi="Ali" w:cs="Ali-A-Traditional"/>
          <w:sz w:val="32"/>
          <w:szCs w:val="32"/>
          <w:rtl/>
          <w:lang w:bidi="ar-OM"/>
        </w:rPr>
        <w:t>علاج الط</w:t>
      </w:r>
      <w:r w:rsidRPr="007E6443">
        <w:rPr>
          <w:rFonts w:ascii="Ali" w:eastAsia="Calibri" w:hAnsi="Ali" w:cs="Ali-A-Traditional" w:hint="cs"/>
          <w:sz w:val="32"/>
          <w:szCs w:val="32"/>
          <w:rtl/>
          <w:lang w:bidi="ar-OM"/>
        </w:rPr>
        <w:t>بيعية</w:t>
      </w:r>
      <w:r w:rsidRPr="007E6443">
        <w:rPr>
          <w:rFonts w:ascii="Ali" w:eastAsia="Calibri" w:hAnsi="Ali" w:cs="Ali-A-Traditional"/>
          <w:sz w:val="32"/>
          <w:szCs w:val="32"/>
          <w:rtl/>
          <w:lang w:bidi="ar-OM"/>
        </w:rPr>
        <w:t xml:space="preserve"> /</w:t>
      </w:r>
      <w:r w:rsidRPr="007E6443">
        <w:rPr>
          <w:rFonts w:ascii="Ali" w:eastAsia="Calibri" w:hAnsi="Ali" w:cs="Ali-A-Traditional"/>
          <w:sz w:val="32"/>
          <w:szCs w:val="32"/>
          <w:rtl/>
        </w:rPr>
        <w:t xml:space="preserve"> كلية التق</w:t>
      </w:r>
      <w:r w:rsidRPr="007E6443">
        <w:rPr>
          <w:rFonts w:ascii="Ali" w:eastAsia="Calibri" w:hAnsi="Ali" w:cs="Ali-A-Traditional" w:hint="cs"/>
          <w:sz w:val="32"/>
          <w:szCs w:val="32"/>
          <w:rtl/>
        </w:rPr>
        <w:t>نية</w:t>
      </w:r>
      <w:r w:rsidRPr="007E6443">
        <w:rPr>
          <w:rFonts w:ascii="Ali" w:eastAsia="Calibri" w:hAnsi="Ali" w:cs="Ali-A-Traditional"/>
          <w:sz w:val="32"/>
          <w:szCs w:val="32"/>
          <w:rtl/>
        </w:rPr>
        <w:t xml:space="preserve"> </w:t>
      </w:r>
      <w:r w:rsidRPr="007E6443">
        <w:rPr>
          <w:rFonts w:ascii="Ali" w:eastAsia="Calibri" w:hAnsi="Ali" w:cs="Ali-A-Traditional" w:hint="cs"/>
          <w:sz w:val="32"/>
          <w:szCs w:val="32"/>
          <w:rtl/>
        </w:rPr>
        <w:t>الصحيه</w:t>
      </w:r>
      <w:r w:rsidRPr="007E6443">
        <w:rPr>
          <w:rFonts w:ascii="Ali" w:eastAsia="Calibri" w:hAnsi="Ali" w:cs="Ali-A-Traditional"/>
          <w:sz w:val="32"/>
          <w:szCs w:val="32"/>
          <w:rtl/>
        </w:rPr>
        <w:t xml:space="preserve"> الطبية</w:t>
      </w:r>
    </w:p>
    <w:p w:rsidR="007E6443" w:rsidRPr="007E6443" w:rsidRDefault="007E6443" w:rsidP="007E6443">
      <w:pPr>
        <w:jc w:val="center"/>
        <w:rPr>
          <w:rFonts w:ascii="Ali" w:eastAsia="Calibri" w:hAnsi="Ali" w:cs="Ali-A-Traditional"/>
          <w:sz w:val="32"/>
          <w:szCs w:val="32"/>
        </w:rPr>
      </w:pPr>
    </w:p>
    <w:p w:rsidR="007E6443" w:rsidRPr="007E6443" w:rsidRDefault="007E6443" w:rsidP="007E6443">
      <w:pPr>
        <w:spacing w:line="276" w:lineRule="auto"/>
        <w:jc w:val="center"/>
        <w:rPr>
          <w:rFonts w:ascii="Ali" w:eastAsia="Calibri" w:hAnsi="Ali" w:cs="Ali-A-Traditional"/>
          <w:sz w:val="28"/>
          <w:szCs w:val="28"/>
          <w:rtl/>
        </w:rPr>
      </w:pPr>
      <w:r w:rsidRPr="007E6443">
        <w:rPr>
          <w:rFonts w:ascii="Ali" w:eastAsia="Calibri" w:hAnsi="Ali" w:cs="Ali-A-Traditional"/>
          <w:sz w:val="32"/>
          <w:szCs w:val="32"/>
          <w:rtl/>
        </w:rPr>
        <w:t>باشراف</w:t>
      </w:r>
    </w:p>
    <w:p w:rsidR="007E6443" w:rsidRPr="007E6443" w:rsidRDefault="007E6443" w:rsidP="007E6443">
      <w:pPr>
        <w:spacing w:line="276" w:lineRule="auto"/>
        <w:jc w:val="center"/>
        <w:rPr>
          <w:rFonts w:ascii="Ali" w:eastAsia="Calibri" w:hAnsi="Ali" w:cs="Ali-A-Traditional"/>
          <w:color w:val="000000"/>
          <w:sz w:val="28"/>
          <w:szCs w:val="28"/>
          <w:rtl/>
        </w:rPr>
      </w:pPr>
      <w:r w:rsidRPr="007E6443">
        <w:rPr>
          <w:rFonts w:ascii="Ali" w:eastAsia="Calibri" w:hAnsi="Ali" w:cs="Ali-A-Traditional"/>
          <w:color w:val="000000"/>
          <w:sz w:val="28"/>
          <w:szCs w:val="28"/>
          <w:rtl/>
          <w:lang w:bidi="ar-IQ"/>
        </w:rPr>
        <w:t>غسان حسني علي</w:t>
      </w:r>
      <w:r w:rsidRPr="007E6443">
        <w:rPr>
          <w:rFonts w:ascii="Ali" w:eastAsia="Calibri" w:hAnsi="Ali" w:cs="Ali-A-Traditional" w:hint="cs"/>
          <w:color w:val="000000"/>
          <w:sz w:val="28"/>
          <w:szCs w:val="28"/>
          <w:vertAlign w:val="superscript"/>
          <w:rtl/>
          <w:lang w:bidi="ar-IQ"/>
        </w:rPr>
        <w:t xml:space="preserve"> </w:t>
      </w:r>
    </w:p>
    <w:p w:rsidR="007E6443" w:rsidRPr="007E6443" w:rsidRDefault="007E6443" w:rsidP="007E6443">
      <w:pPr>
        <w:spacing w:line="360" w:lineRule="auto"/>
        <w:jc w:val="center"/>
        <w:rPr>
          <w:rFonts w:ascii="Ali" w:eastAsia="Calibri" w:hAnsi="Ali" w:cs="Ali-A-Traditional"/>
          <w:color w:val="000000"/>
          <w:sz w:val="28"/>
          <w:szCs w:val="28"/>
          <w:rtl/>
        </w:rPr>
      </w:pPr>
      <w:r w:rsidRPr="007E6443">
        <w:rPr>
          <w:rFonts w:ascii="Ali" w:eastAsia="Calibri" w:hAnsi="Ali" w:cs="Ali-A-Traditional"/>
          <w:color w:val="000000"/>
          <w:sz w:val="28"/>
          <w:szCs w:val="28"/>
          <w:rtl/>
        </w:rPr>
        <w:t>استاذ مساعد / كلية اربيل التقنية الصحيه الطبية</w:t>
      </w:r>
      <w:r w:rsidRPr="007E6443">
        <w:rPr>
          <w:rFonts w:ascii="Ali" w:eastAsia="Calibri" w:hAnsi="Ali" w:cs="Ali-A-Traditional"/>
          <w:color w:val="000000"/>
          <w:sz w:val="28"/>
          <w:szCs w:val="28"/>
        </w:rPr>
        <w:t xml:space="preserve"> </w:t>
      </w:r>
    </w:p>
    <w:p w:rsidR="007E6443" w:rsidRPr="007E6443" w:rsidRDefault="007E6443" w:rsidP="007E6443">
      <w:pPr>
        <w:spacing w:line="360" w:lineRule="auto"/>
        <w:jc w:val="center"/>
        <w:rPr>
          <w:rFonts w:ascii="Ali" w:eastAsia="Calibri" w:hAnsi="Ali" w:cs="Ali-A-Traditional"/>
          <w:color w:val="000000"/>
          <w:sz w:val="28"/>
          <w:szCs w:val="28"/>
          <w:rtl/>
        </w:rPr>
      </w:pPr>
    </w:p>
    <w:p w:rsidR="007E6443" w:rsidRPr="007E6443" w:rsidRDefault="007E6443" w:rsidP="007E6443">
      <w:pPr>
        <w:spacing w:line="360" w:lineRule="auto"/>
        <w:jc w:val="center"/>
        <w:rPr>
          <w:rFonts w:ascii="Times New Roman" w:eastAsia="Calibri" w:hAnsi="Times New Roman" w:cs="Times New Roman"/>
          <w:color w:val="000000"/>
          <w:sz w:val="28"/>
          <w:szCs w:val="28"/>
          <w:rtl/>
          <w:lang w:bidi="ar-IQ"/>
        </w:rPr>
      </w:pPr>
      <w:r w:rsidRPr="007E6443">
        <w:rPr>
          <w:rFonts w:ascii="Times New Roman" w:eastAsia="Calibri" w:hAnsi="Times New Roman" w:cs="Times New Roman"/>
          <w:color w:val="000000"/>
          <w:sz w:val="28"/>
          <w:szCs w:val="28"/>
        </w:rPr>
        <w:t>144</w:t>
      </w:r>
      <w:r w:rsidRPr="007E6443">
        <w:rPr>
          <w:rFonts w:ascii="Times New Roman" w:eastAsia="Calibri" w:hAnsi="Times New Roman" w:cs="Times New Roman" w:hint="cs"/>
          <w:color w:val="000000"/>
          <w:sz w:val="28"/>
          <w:szCs w:val="28"/>
          <w:rtl/>
        </w:rPr>
        <w:t>4</w:t>
      </w:r>
      <w:r w:rsidRPr="007E6443">
        <w:rPr>
          <w:rFonts w:ascii="Times New Roman" w:eastAsia="Calibri" w:hAnsi="Times New Roman" w:cs="Times New Roman"/>
          <w:color w:val="000000"/>
          <w:sz w:val="28"/>
          <w:szCs w:val="28"/>
        </w:rPr>
        <w:t xml:space="preserve">  </w:t>
      </w:r>
      <w:r w:rsidRPr="007E6443">
        <w:rPr>
          <w:rFonts w:ascii="Times New Roman" w:eastAsia="Calibri" w:hAnsi="Times New Roman" w:cs="Times New Roman" w:hint="cs"/>
          <w:color w:val="000000"/>
          <w:sz w:val="28"/>
          <w:szCs w:val="28"/>
          <w:rtl/>
          <w:lang w:bidi="ar-OM"/>
        </w:rPr>
        <w:t xml:space="preserve"> </w:t>
      </w:r>
      <w:r w:rsidRPr="007E6443">
        <w:rPr>
          <w:rFonts w:ascii="Times New Roman" w:eastAsia="Calibri" w:hAnsi="Times New Roman" w:cs="Times New Roman" w:hint="cs"/>
          <w:color w:val="000000"/>
          <w:sz w:val="28"/>
          <w:szCs w:val="28"/>
          <w:rtl/>
          <w:lang w:bidi="ar-IQ"/>
        </w:rPr>
        <w:t>کانون الاول</w:t>
      </w:r>
    </w:p>
    <w:p w:rsidR="00C85AF5" w:rsidRDefault="00C85AF5"/>
    <w:sectPr w:rsidR="00C85AF5" w:rsidSect="00631D4F">
      <w:headerReference w:type="even" r:id="rId26"/>
      <w:headerReference w:type="default" r:id="rId27"/>
      <w:footerReference w:type="even" r:id="rId28"/>
      <w:footerReference w:type="default" r:id="rId29"/>
      <w:headerReference w:type="first" r:id="rId30"/>
      <w:footerReference w:type="first" r:id="rId31"/>
      <w:pgSz w:w="11910" w:h="16840" w:code="9"/>
      <w:pgMar w:top="1418" w:right="1418" w:bottom="1418" w:left="1418" w:header="567" w:footer="709" w:gutter="284"/>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982" w:rsidRDefault="00706982" w:rsidP="007E6443">
      <w:pPr>
        <w:spacing w:after="0" w:line="240" w:lineRule="auto"/>
      </w:pPr>
      <w:r>
        <w:separator/>
      </w:r>
    </w:p>
  </w:endnote>
  <w:endnote w:type="continuationSeparator" w:id="0">
    <w:p w:rsidR="00706982" w:rsidRDefault="00706982" w:rsidP="007E6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li_K_Sahifa Bold">
    <w:panose1 w:val="00000000000000000000"/>
    <w:charset w:val="B2"/>
    <w:family w:val="auto"/>
    <w:pitch w:val="variable"/>
    <w:sig w:usb0="00002001" w:usb1="00000000" w:usb2="00000000" w:usb3="00000000" w:csb0="00000040" w:csb1="00000000"/>
  </w:font>
  <w:font w:name="Segoe Print">
    <w:panose1 w:val="02000600000000000000"/>
    <w:charset w:val="00"/>
    <w:family w:val="auto"/>
    <w:pitch w:val="variable"/>
    <w:sig w:usb0="0000028F" w:usb1="00000000" w:usb2="00000000" w:usb3="00000000" w:csb0="0000009F" w:csb1="00000000"/>
  </w:font>
  <w:font w:name="Unikurd Diyako">
    <w:panose1 w:val="020B0604030504040204"/>
    <w:charset w:val="00"/>
    <w:family w:val="swiss"/>
    <w:pitch w:val="variable"/>
    <w:sig w:usb0="00002007" w:usb1="80000000" w:usb2="00000008" w:usb3="00000000" w:csb0="00000051" w:csb1="00000000"/>
  </w:font>
  <w:font w:name="Ali">
    <w:altName w:val="MS Mincho"/>
    <w:panose1 w:val="00000000000000000000"/>
    <w:charset w:val="00"/>
    <w:family w:val="roman"/>
    <w:notTrueType/>
    <w:pitch w:val="default"/>
  </w:font>
  <w:font w:name="Ali-A-Traditional">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443" w:rsidRDefault="007E644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39400952"/>
      <w:docPartObj>
        <w:docPartGallery w:val="Page Numbers (Bottom of Page)"/>
        <w:docPartUnique/>
      </w:docPartObj>
    </w:sdtPr>
    <w:sdtEndPr>
      <w:rPr>
        <w:noProof/>
      </w:rPr>
    </w:sdtEndPr>
    <w:sdtContent>
      <w:bookmarkStart w:id="3" w:name="_GoBack" w:displacedByCustomXml="prev"/>
      <w:bookmarkEnd w:id="3" w:displacedByCustomXml="prev"/>
      <w:p w:rsidR="007E6443" w:rsidRDefault="007E6443">
        <w:pPr>
          <w:pStyle w:val="Footer"/>
          <w:jc w:val="center"/>
        </w:pPr>
        <w:r>
          <w:fldChar w:fldCharType="begin"/>
        </w:r>
        <w:r>
          <w:instrText xml:space="preserve"> PAGE   \* MERGEFORMAT </w:instrText>
        </w:r>
        <w:r>
          <w:fldChar w:fldCharType="separate"/>
        </w:r>
        <w:r>
          <w:rPr>
            <w:noProof/>
            <w:rtl/>
          </w:rPr>
          <w:t>72</w:t>
        </w:r>
        <w:r>
          <w:rPr>
            <w:noProof/>
          </w:rPr>
          <w:fldChar w:fldCharType="end"/>
        </w:r>
      </w:p>
    </w:sdtContent>
  </w:sdt>
  <w:p w:rsidR="007E6443" w:rsidRDefault="007E644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443" w:rsidRDefault="007E64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982" w:rsidRDefault="00706982" w:rsidP="007E6443">
      <w:pPr>
        <w:spacing w:after="0" w:line="240" w:lineRule="auto"/>
      </w:pPr>
      <w:r>
        <w:separator/>
      </w:r>
    </w:p>
  </w:footnote>
  <w:footnote w:type="continuationSeparator" w:id="0">
    <w:p w:rsidR="00706982" w:rsidRDefault="00706982" w:rsidP="007E64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443" w:rsidRDefault="007E644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443" w:rsidRDefault="007E644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443" w:rsidRDefault="007E644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07D88"/>
    <w:multiLevelType w:val="hybridMultilevel"/>
    <w:tmpl w:val="FD8EB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E7BAE"/>
    <w:multiLevelType w:val="hybridMultilevel"/>
    <w:tmpl w:val="2EB2BE3C"/>
    <w:lvl w:ilvl="0" w:tplc="F78A2D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E7143"/>
    <w:multiLevelType w:val="hybridMultilevel"/>
    <w:tmpl w:val="E01C3C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5A29"/>
    <w:multiLevelType w:val="multilevel"/>
    <w:tmpl w:val="CE78866C"/>
    <w:lvl w:ilvl="0">
      <w:start w:val="3"/>
      <w:numFmt w:val="decimal"/>
      <w:lvlText w:val="%1"/>
      <w:lvlJc w:val="left"/>
      <w:pPr>
        <w:ind w:left="360" w:hanging="360"/>
      </w:pPr>
      <w:rPr>
        <w:rFonts w:hint="default"/>
        <w:b/>
      </w:rPr>
    </w:lvl>
    <w:lvl w:ilvl="1">
      <w:start w:val="1"/>
      <w:numFmt w:val="decimal"/>
      <w:lvlText w:val="%1.%2"/>
      <w:lvlJc w:val="left"/>
      <w:pPr>
        <w:ind w:left="45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A65454F"/>
    <w:multiLevelType w:val="hybridMultilevel"/>
    <w:tmpl w:val="2EB2BE3C"/>
    <w:lvl w:ilvl="0" w:tplc="F78A2D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B42E93"/>
    <w:multiLevelType w:val="hybridMultilevel"/>
    <w:tmpl w:val="12628644"/>
    <w:lvl w:ilvl="0" w:tplc="73AC27A4">
      <w:start w:val="1"/>
      <w:numFmt w:val="decimal"/>
      <w:lvlText w:val="%1."/>
      <w:lvlJc w:val="left"/>
      <w:pPr>
        <w:ind w:left="100" w:hanging="319"/>
      </w:pPr>
      <w:rPr>
        <w:rFonts w:ascii="Times New Roman" w:eastAsia="Times New Roman" w:hAnsi="Times New Roman" w:cs="Times New Roman" w:hint="default"/>
        <w:b w:val="0"/>
        <w:bCs w:val="0"/>
        <w:i w:val="0"/>
        <w:iCs w:val="0"/>
        <w:spacing w:val="0"/>
        <w:w w:val="100"/>
        <w:sz w:val="28"/>
        <w:szCs w:val="28"/>
        <w:lang w:val="en-US" w:eastAsia="en-US" w:bidi="ar-SA"/>
      </w:rPr>
    </w:lvl>
    <w:lvl w:ilvl="1" w:tplc="2C5E84B4">
      <w:numFmt w:val="bullet"/>
      <w:lvlText w:val="•"/>
      <w:lvlJc w:val="left"/>
      <w:pPr>
        <w:ind w:left="1048" w:hanging="319"/>
      </w:pPr>
      <w:rPr>
        <w:rFonts w:hint="default"/>
        <w:lang w:val="en-US" w:eastAsia="en-US" w:bidi="ar-SA"/>
      </w:rPr>
    </w:lvl>
    <w:lvl w:ilvl="2" w:tplc="821A8DC2">
      <w:numFmt w:val="bullet"/>
      <w:lvlText w:val="•"/>
      <w:lvlJc w:val="left"/>
      <w:pPr>
        <w:ind w:left="1996" w:hanging="319"/>
      </w:pPr>
      <w:rPr>
        <w:rFonts w:hint="default"/>
        <w:lang w:val="en-US" w:eastAsia="en-US" w:bidi="ar-SA"/>
      </w:rPr>
    </w:lvl>
    <w:lvl w:ilvl="3" w:tplc="DB54E646">
      <w:numFmt w:val="bullet"/>
      <w:lvlText w:val="•"/>
      <w:lvlJc w:val="left"/>
      <w:pPr>
        <w:ind w:left="2944" w:hanging="319"/>
      </w:pPr>
      <w:rPr>
        <w:rFonts w:hint="default"/>
        <w:lang w:val="en-US" w:eastAsia="en-US" w:bidi="ar-SA"/>
      </w:rPr>
    </w:lvl>
    <w:lvl w:ilvl="4" w:tplc="BEEAB2F6">
      <w:numFmt w:val="bullet"/>
      <w:lvlText w:val="•"/>
      <w:lvlJc w:val="left"/>
      <w:pPr>
        <w:ind w:left="3892" w:hanging="319"/>
      </w:pPr>
      <w:rPr>
        <w:rFonts w:hint="default"/>
        <w:lang w:val="en-US" w:eastAsia="en-US" w:bidi="ar-SA"/>
      </w:rPr>
    </w:lvl>
    <w:lvl w:ilvl="5" w:tplc="FC9A672A">
      <w:numFmt w:val="bullet"/>
      <w:lvlText w:val="•"/>
      <w:lvlJc w:val="left"/>
      <w:pPr>
        <w:ind w:left="4840" w:hanging="319"/>
      </w:pPr>
      <w:rPr>
        <w:rFonts w:hint="default"/>
        <w:lang w:val="en-US" w:eastAsia="en-US" w:bidi="ar-SA"/>
      </w:rPr>
    </w:lvl>
    <w:lvl w:ilvl="6" w:tplc="227654B0">
      <w:numFmt w:val="bullet"/>
      <w:lvlText w:val="•"/>
      <w:lvlJc w:val="left"/>
      <w:pPr>
        <w:ind w:left="5788" w:hanging="319"/>
      </w:pPr>
      <w:rPr>
        <w:rFonts w:hint="default"/>
        <w:lang w:val="en-US" w:eastAsia="en-US" w:bidi="ar-SA"/>
      </w:rPr>
    </w:lvl>
    <w:lvl w:ilvl="7" w:tplc="356614F4">
      <w:numFmt w:val="bullet"/>
      <w:lvlText w:val="•"/>
      <w:lvlJc w:val="left"/>
      <w:pPr>
        <w:ind w:left="6736" w:hanging="319"/>
      </w:pPr>
      <w:rPr>
        <w:rFonts w:hint="default"/>
        <w:lang w:val="en-US" w:eastAsia="en-US" w:bidi="ar-SA"/>
      </w:rPr>
    </w:lvl>
    <w:lvl w:ilvl="8" w:tplc="45CAAF7E">
      <w:numFmt w:val="bullet"/>
      <w:lvlText w:val="•"/>
      <w:lvlJc w:val="left"/>
      <w:pPr>
        <w:ind w:left="7684" w:hanging="319"/>
      </w:pPr>
      <w:rPr>
        <w:rFonts w:hint="default"/>
        <w:lang w:val="en-US" w:eastAsia="en-US" w:bidi="ar-SA"/>
      </w:rPr>
    </w:lvl>
  </w:abstractNum>
  <w:abstractNum w:abstractNumId="6" w15:restartNumberingAfterBreak="0">
    <w:nsid w:val="1E5270A5"/>
    <w:multiLevelType w:val="multilevel"/>
    <w:tmpl w:val="9944320A"/>
    <w:lvl w:ilvl="0">
      <w:start w:val="3"/>
      <w:numFmt w:val="decimal"/>
      <w:lvlText w:val="%1."/>
      <w:lvlJc w:val="left"/>
      <w:pPr>
        <w:ind w:left="360" w:hanging="360"/>
      </w:pPr>
      <w:rPr>
        <w:rFonts w:hint="default"/>
        <w:b/>
      </w:rPr>
    </w:lvl>
    <w:lvl w:ilvl="1">
      <w:start w:val="1"/>
      <w:numFmt w:val="decimal"/>
      <w:lvlText w:val="%1.%2."/>
      <w:lvlJc w:val="left"/>
      <w:pPr>
        <w:ind w:left="54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20C01496"/>
    <w:multiLevelType w:val="hybridMultilevel"/>
    <w:tmpl w:val="B68A6F12"/>
    <w:lvl w:ilvl="0" w:tplc="52F620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45D0CCA"/>
    <w:multiLevelType w:val="hybridMultilevel"/>
    <w:tmpl w:val="9E4C6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41ABC"/>
    <w:multiLevelType w:val="multilevel"/>
    <w:tmpl w:val="CE78866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404F488A"/>
    <w:multiLevelType w:val="multilevel"/>
    <w:tmpl w:val="3536C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D95A3B"/>
    <w:multiLevelType w:val="multilevel"/>
    <w:tmpl w:val="B2001782"/>
    <w:lvl w:ilvl="0">
      <w:start w:val="2"/>
      <w:numFmt w:val="decimal"/>
      <w:lvlText w:val="%1."/>
      <w:lvlJc w:val="left"/>
      <w:pPr>
        <w:ind w:left="675" w:hanging="675"/>
      </w:pPr>
      <w:rPr>
        <w:rFonts w:hint="default"/>
      </w:rPr>
    </w:lvl>
    <w:lvl w:ilvl="1">
      <w:start w:val="9"/>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8B91726"/>
    <w:multiLevelType w:val="hybridMultilevel"/>
    <w:tmpl w:val="8F58A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76010B"/>
    <w:multiLevelType w:val="hybridMultilevel"/>
    <w:tmpl w:val="B68A6F12"/>
    <w:lvl w:ilvl="0" w:tplc="52F6209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B765DE0"/>
    <w:multiLevelType w:val="multilevel"/>
    <w:tmpl w:val="4D3A032E"/>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7BE5578F"/>
    <w:multiLevelType w:val="multilevel"/>
    <w:tmpl w:val="93A0DA86"/>
    <w:lvl w:ilvl="0">
      <w:start w:val="3"/>
      <w:numFmt w:val="decimal"/>
      <w:lvlText w:val="%1."/>
      <w:lvlJc w:val="left"/>
      <w:pPr>
        <w:ind w:left="4135" w:hanging="281"/>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592" w:hanging="492"/>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4744" w:hanging="492"/>
      </w:pPr>
      <w:rPr>
        <w:rFonts w:hint="default"/>
        <w:lang w:val="en-US" w:eastAsia="en-US" w:bidi="ar-SA"/>
      </w:rPr>
    </w:lvl>
    <w:lvl w:ilvl="3">
      <w:numFmt w:val="bullet"/>
      <w:lvlText w:val="•"/>
      <w:lvlJc w:val="left"/>
      <w:pPr>
        <w:ind w:left="5348" w:hanging="492"/>
      </w:pPr>
      <w:rPr>
        <w:rFonts w:hint="default"/>
        <w:lang w:val="en-US" w:eastAsia="en-US" w:bidi="ar-SA"/>
      </w:rPr>
    </w:lvl>
    <w:lvl w:ilvl="4">
      <w:numFmt w:val="bullet"/>
      <w:lvlText w:val="•"/>
      <w:lvlJc w:val="left"/>
      <w:pPr>
        <w:ind w:left="5953" w:hanging="492"/>
      </w:pPr>
      <w:rPr>
        <w:rFonts w:hint="default"/>
        <w:lang w:val="en-US" w:eastAsia="en-US" w:bidi="ar-SA"/>
      </w:rPr>
    </w:lvl>
    <w:lvl w:ilvl="5">
      <w:numFmt w:val="bullet"/>
      <w:lvlText w:val="•"/>
      <w:lvlJc w:val="left"/>
      <w:pPr>
        <w:ind w:left="6557" w:hanging="492"/>
      </w:pPr>
      <w:rPr>
        <w:rFonts w:hint="default"/>
        <w:lang w:val="en-US" w:eastAsia="en-US" w:bidi="ar-SA"/>
      </w:rPr>
    </w:lvl>
    <w:lvl w:ilvl="6">
      <w:numFmt w:val="bullet"/>
      <w:lvlText w:val="•"/>
      <w:lvlJc w:val="left"/>
      <w:pPr>
        <w:ind w:left="7162" w:hanging="492"/>
      </w:pPr>
      <w:rPr>
        <w:rFonts w:hint="default"/>
        <w:lang w:val="en-US" w:eastAsia="en-US" w:bidi="ar-SA"/>
      </w:rPr>
    </w:lvl>
    <w:lvl w:ilvl="7">
      <w:numFmt w:val="bullet"/>
      <w:lvlText w:val="•"/>
      <w:lvlJc w:val="left"/>
      <w:pPr>
        <w:ind w:left="7766" w:hanging="492"/>
      </w:pPr>
      <w:rPr>
        <w:rFonts w:hint="default"/>
        <w:lang w:val="en-US" w:eastAsia="en-US" w:bidi="ar-SA"/>
      </w:rPr>
    </w:lvl>
    <w:lvl w:ilvl="8">
      <w:numFmt w:val="bullet"/>
      <w:lvlText w:val="•"/>
      <w:lvlJc w:val="left"/>
      <w:pPr>
        <w:ind w:left="8371" w:hanging="492"/>
      </w:pPr>
      <w:rPr>
        <w:rFonts w:hint="default"/>
        <w:lang w:val="en-US" w:eastAsia="en-US" w:bidi="ar-SA"/>
      </w:rPr>
    </w:lvl>
  </w:abstractNum>
  <w:abstractNum w:abstractNumId="16" w15:restartNumberingAfterBreak="0">
    <w:nsid w:val="7E6C56F7"/>
    <w:multiLevelType w:val="multilevel"/>
    <w:tmpl w:val="2452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num>
  <w:num w:numId="5">
    <w:abstractNumId w:val="10"/>
  </w:num>
  <w:num w:numId="6">
    <w:abstractNumId w:val="5"/>
  </w:num>
  <w:num w:numId="7">
    <w:abstractNumId w:val="15"/>
  </w:num>
  <w:num w:numId="8">
    <w:abstractNumId w:val="8"/>
  </w:num>
  <w:num w:numId="9">
    <w:abstractNumId w:val="4"/>
  </w:num>
  <w:num w:numId="10">
    <w:abstractNumId w:val="14"/>
  </w:num>
  <w:num w:numId="11">
    <w:abstractNumId w:val="1"/>
  </w:num>
  <w:num w:numId="12">
    <w:abstractNumId w:val="12"/>
  </w:num>
  <w:num w:numId="13">
    <w:abstractNumId w:val="2"/>
  </w:num>
  <w:num w:numId="14">
    <w:abstractNumId w:val="6"/>
  </w:num>
  <w:num w:numId="15">
    <w:abstractNumId w:val="9"/>
  </w:num>
  <w:num w:numId="16">
    <w:abstractNumId w:val="3"/>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CF4"/>
    <w:rsid w:val="004978F9"/>
    <w:rsid w:val="00631D4F"/>
    <w:rsid w:val="00706982"/>
    <w:rsid w:val="007E6443"/>
    <w:rsid w:val="00970CF4"/>
    <w:rsid w:val="009F7EE6"/>
    <w:rsid w:val="00C85A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E49F3"/>
  <w15:chartTrackingRefBased/>
  <w15:docId w15:val="{E249B4CC-1164-4FF0-A362-18A89B46C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8F9"/>
  </w:style>
  <w:style w:type="paragraph" w:styleId="Heading1">
    <w:name w:val="heading 1"/>
    <w:basedOn w:val="Normal"/>
    <w:next w:val="Normal"/>
    <w:link w:val="Heading1Char"/>
    <w:uiPriority w:val="9"/>
    <w:qFormat/>
    <w:rsid w:val="00C85AF5"/>
    <w:pPr>
      <w:keepNext/>
      <w:keepLines/>
      <w:spacing w:before="240" w:after="0"/>
      <w:outlineLvl w:val="0"/>
    </w:pPr>
    <w:rPr>
      <w:rFonts w:ascii="Cambria" w:eastAsia="Times New Roman"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7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5AF5"/>
    <w:pPr>
      <w:ind w:left="720"/>
      <w:contextualSpacing/>
    </w:pPr>
  </w:style>
  <w:style w:type="paragraph" w:customStyle="1" w:styleId="Heading11">
    <w:name w:val="Heading 11"/>
    <w:basedOn w:val="Normal"/>
    <w:next w:val="Normal"/>
    <w:uiPriority w:val="9"/>
    <w:qFormat/>
    <w:rsid w:val="00C85AF5"/>
    <w:pPr>
      <w:keepNext/>
      <w:keepLines/>
      <w:spacing w:before="240" w:after="0" w:line="276" w:lineRule="auto"/>
      <w:outlineLvl w:val="0"/>
    </w:pPr>
    <w:rPr>
      <w:rFonts w:ascii="Cambria" w:eastAsia="Times New Roman" w:hAnsi="Cambria" w:cs="Times New Roman"/>
      <w:color w:val="365F91"/>
      <w:sz w:val="32"/>
      <w:szCs w:val="32"/>
    </w:rPr>
  </w:style>
  <w:style w:type="numbering" w:customStyle="1" w:styleId="NoList1">
    <w:name w:val="No List1"/>
    <w:next w:val="NoList"/>
    <w:uiPriority w:val="99"/>
    <w:semiHidden/>
    <w:unhideWhenUsed/>
    <w:rsid w:val="00C85AF5"/>
  </w:style>
  <w:style w:type="paragraph" w:styleId="BalloonText">
    <w:name w:val="Balloon Text"/>
    <w:basedOn w:val="Normal"/>
    <w:link w:val="BalloonTextChar"/>
    <w:uiPriority w:val="99"/>
    <w:semiHidden/>
    <w:unhideWhenUsed/>
    <w:rsid w:val="00C85AF5"/>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AF5"/>
    <w:rPr>
      <w:rFonts w:ascii="Tahoma" w:hAnsi="Tahoma" w:cs="Tahoma"/>
      <w:sz w:val="16"/>
      <w:szCs w:val="16"/>
    </w:rPr>
  </w:style>
  <w:style w:type="paragraph" w:customStyle="1" w:styleId="Default">
    <w:name w:val="Default"/>
    <w:rsid w:val="00C85AF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85AF5"/>
    <w:pPr>
      <w:tabs>
        <w:tab w:val="center" w:pos="4153"/>
        <w:tab w:val="right" w:pos="8306"/>
      </w:tabs>
      <w:bidi/>
      <w:spacing w:after="0" w:line="240" w:lineRule="auto"/>
    </w:pPr>
  </w:style>
  <w:style w:type="character" w:customStyle="1" w:styleId="HeaderChar">
    <w:name w:val="Header Char"/>
    <w:basedOn w:val="DefaultParagraphFont"/>
    <w:link w:val="Header"/>
    <w:uiPriority w:val="99"/>
    <w:rsid w:val="00C85AF5"/>
  </w:style>
  <w:style w:type="paragraph" w:styleId="Footer">
    <w:name w:val="footer"/>
    <w:basedOn w:val="Normal"/>
    <w:link w:val="FooterChar"/>
    <w:uiPriority w:val="99"/>
    <w:unhideWhenUsed/>
    <w:rsid w:val="00C85AF5"/>
    <w:pPr>
      <w:tabs>
        <w:tab w:val="center" w:pos="4153"/>
        <w:tab w:val="right" w:pos="8306"/>
      </w:tabs>
      <w:bidi/>
      <w:spacing w:after="0" w:line="240" w:lineRule="auto"/>
    </w:pPr>
  </w:style>
  <w:style w:type="character" w:customStyle="1" w:styleId="FooterChar">
    <w:name w:val="Footer Char"/>
    <w:basedOn w:val="DefaultParagraphFont"/>
    <w:link w:val="Footer"/>
    <w:uiPriority w:val="99"/>
    <w:rsid w:val="00C85AF5"/>
  </w:style>
  <w:style w:type="character" w:customStyle="1" w:styleId="Hyperlink1">
    <w:name w:val="Hyperlink1"/>
    <w:basedOn w:val="DefaultParagraphFont"/>
    <w:uiPriority w:val="99"/>
    <w:unhideWhenUsed/>
    <w:rsid w:val="00C85AF5"/>
    <w:rPr>
      <w:color w:val="0000FF"/>
      <w:u w:val="single"/>
    </w:rPr>
  </w:style>
  <w:style w:type="paragraph" w:styleId="NormalWeb">
    <w:name w:val="Normal (Web)"/>
    <w:basedOn w:val="Normal"/>
    <w:uiPriority w:val="99"/>
    <w:unhideWhenUsed/>
    <w:rsid w:val="00C85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next w:val="Normal"/>
    <w:uiPriority w:val="35"/>
    <w:unhideWhenUsed/>
    <w:qFormat/>
    <w:rsid w:val="00C85AF5"/>
    <w:pPr>
      <w:spacing w:after="200" w:line="240" w:lineRule="auto"/>
    </w:pPr>
    <w:rPr>
      <w:i/>
      <w:iCs/>
      <w:color w:val="1F497D"/>
      <w:sz w:val="18"/>
      <w:szCs w:val="18"/>
    </w:rPr>
  </w:style>
  <w:style w:type="character" w:customStyle="1" w:styleId="Heading1Char">
    <w:name w:val="Heading 1 Char"/>
    <w:basedOn w:val="DefaultParagraphFont"/>
    <w:link w:val="Heading1"/>
    <w:uiPriority w:val="9"/>
    <w:rsid w:val="00C85AF5"/>
    <w:rPr>
      <w:rFonts w:ascii="Cambria" w:eastAsia="Times New Roman" w:hAnsi="Cambria" w:cs="Times New Roman"/>
      <w:color w:val="365F91"/>
      <w:sz w:val="32"/>
      <w:szCs w:val="32"/>
    </w:rPr>
  </w:style>
  <w:style w:type="character" w:styleId="PlaceholderText">
    <w:name w:val="Placeholder Text"/>
    <w:basedOn w:val="DefaultParagraphFont"/>
    <w:uiPriority w:val="99"/>
    <w:semiHidden/>
    <w:rsid w:val="00C85AF5"/>
    <w:rPr>
      <w:color w:val="808080"/>
    </w:rPr>
  </w:style>
  <w:style w:type="paragraph" w:customStyle="1" w:styleId="EndNoteBibliographyTitle">
    <w:name w:val="EndNote Bibliography Title"/>
    <w:basedOn w:val="Normal"/>
    <w:link w:val="EndNoteBibliographyTitleChar"/>
    <w:rsid w:val="00C85AF5"/>
    <w:pPr>
      <w:bidi/>
      <w:spacing w:after="0" w:line="276" w:lineRule="auto"/>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C85AF5"/>
    <w:rPr>
      <w:rFonts w:ascii="Times New Roman" w:hAnsi="Times New Roman" w:cs="Times New Roman"/>
      <w:noProof/>
      <w:sz w:val="24"/>
    </w:rPr>
  </w:style>
  <w:style w:type="paragraph" w:customStyle="1" w:styleId="EndNoteBibliography">
    <w:name w:val="EndNote Bibliography"/>
    <w:basedOn w:val="Normal"/>
    <w:link w:val="EndNoteBibliographyChar"/>
    <w:rsid w:val="00C85AF5"/>
    <w:pPr>
      <w:bidi/>
      <w:spacing w:after="200" w:line="240" w:lineRule="auto"/>
      <w:jc w:val="right"/>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C85AF5"/>
    <w:rPr>
      <w:rFonts w:ascii="Times New Roman" w:hAnsi="Times New Roman" w:cs="Times New Roman"/>
      <w:noProof/>
      <w:sz w:val="24"/>
    </w:rPr>
  </w:style>
  <w:style w:type="character" w:customStyle="1" w:styleId="UnresolvedMention">
    <w:name w:val="Unresolved Mention"/>
    <w:basedOn w:val="DefaultParagraphFont"/>
    <w:uiPriority w:val="99"/>
    <w:semiHidden/>
    <w:unhideWhenUsed/>
    <w:rsid w:val="00C85AF5"/>
    <w:rPr>
      <w:color w:val="605E5C"/>
      <w:shd w:val="clear" w:color="auto" w:fill="E1DFDD"/>
    </w:rPr>
  </w:style>
  <w:style w:type="character" w:styleId="Hyperlink">
    <w:name w:val="Hyperlink"/>
    <w:basedOn w:val="DefaultParagraphFont"/>
    <w:uiPriority w:val="99"/>
    <w:semiHidden/>
    <w:unhideWhenUsed/>
    <w:rsid w:val="00C85AF5"/>
    <w:rPr>
      <w:color w:val="0563C1" w:themeColor="hyperlink"/>
      <w:u w:val="single"/>
    </w:rPr>
  </w:style>
  <w:style w:type="character" w:customStyle="1" w:styleId="Heading1Char1">
    <w:name w:val="Heading 1 Char1"/>
    <w:basedOn w:val="DefaultParagraphFont"/>
    <w:link w:val="Heading1"/>
    <w:uiPriority w:val="9"/>
    <w:rsid w:val="00C85AF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6.jp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hart" Target="charts/chart8.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STAT%20Office%20Clinet\1%20%20%20Analysis%20Data\Analysis%20Data%202023\January\4)%20%20Muhamman%20HAwsari%20Eman%20Xan\Data%20Analysis%20%20M.%20Muhammad.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STAT%20Office%20Clinet\1%20%20%20Analysis%20Data\Analysis%20Data%202023\January\4)%20%20Muhamman%20HAwsari%20Eman%20Xan\Data%20Analysis%20%20M.%20Muhammad.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STAT%20Office%20Clinet\1%20%20%20Analysis%20Data\Analysis%20Data%202023\January\4)%20%20Muhamman%20HAwsari%20Eman%20Xan\Data%20Analysis%20%20M.%20Muhammad.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STAT%20Office%20Clinet\1%20%20%20Analysis%20Data\Analysis%20Data%202023\January\4)%20%20Muhamman%20HAwsari%20Eman%20Xan\Data%20Analysis%20%20M.%20Muhamma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STAT%20Office%20Clinet\1%20%20%20Analysis%20Data\Analysis%20Data%202023\January\4)%20%20Muhamman%20HAwsari%20Eman%20Xan\Data%20Analysis%20%20M.%20Muhammad.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STAT%20Office%20Clinet\1%20%20%20Analysis%20Data\Analysis%20Data%202023\January\4)%20%20Muhamman%20HAwsari%20Eman%20Xan\Data%20Analysis%20%20M.%20Muhamma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STAT%20Office%20Clinet\1%20%20%20Analysis%20Data\Analysis%20Data%202023\January\4)%20%20Muhamman%20HAwsari%20Eman%20Xan\Data%20Analysis%20%20M.%20Muhamma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STAT%20Office%20Clinet\1%20%20%20Analysis%20Data\Analysis%20Data%202023\January\4)%20%20Muhamman%20HAwsari%20Eman%20Xan\Data%20Analysis%20%20M.%20Muhamm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extLst>
              <c:ext xmlns:c16="http://schemas.microsoft.com/office/drawing/2014/chart" uri="{C3380CC4-5D6E-409C-BE32-E72D297353CC}">
                <c16:uniqueId val="{00000001-1CC6-46CB-8699-46FDAD74976D}"/>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1CC6-46CB-8699-46FDAD74976D}"/>
              </c:ext>
            </c:extLst>
          </c:dPt>
          <c:dLbls>
            <c:dLbl>
              <c:idx val="0"/>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C6-46CB-8699-46FDAD74976D}"/>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Sheet1!$H$4:$H$6</c:f>
              <c:strCache>
                <c:ptCount val="3"/>
                <c:pt idx="0">
                  <c:v>30 - 39</c:v>
                </c:pt>
                <c:pt idx="1">
                  <c:v>40 - 49</c:v>
                </c:pt>
                <c:pt idx="2">
                  <c:v>50 and more</c:v>
                </c:pt>
              </c:strCache>
            </c:strRef>
          </c:cat>
          <c:val>
            <c:numRef>
              <c:f>Sheet1!$I$4:$I$6</c:f>
              <c:numCache>
                <c:formatCode>###0.0%</c:formatCode>
                <c:ptCount val="3"/>
                <c:pt idx="0">
                  <c:v>0.17499999999999999</c:v>
                </c:pt>
                <c:pt idx="1">
                  <c:v>0.22500000000000001</c:v>
                </c:pt>
                <c:pt idx="2">
                  <c:v>0.6</c:v>
                </c:pt>
              </c:numCache>
            </c:numRef>
          </c:val>
          <c:extLst>
            <c:ext xmlns:c16="http://schemas.microsoft.com/office/drawing/2014/chart" uri="{C3380CC4-5D6E-409C-BE32-E72D297353CC}">
              <c16:uniqueId val="{00000005-1CC6-46CB-8699-46FDAD74976D}"/>
            </c:ext>
          </c:extLst>
        </c:ser>
        <c:dLbls>
          <c:showLegendKey val="0"/>
          <c:showVal val="0"/>
          <c:showCatName val="0"/>
          <c:showSerName val="0"/>
          <c:showPercent val="0"/>
          <c:showBubbleSize val="0"/>
        </c:dLbls>
        <c:gapWidth val="150"/>
        <c:shape val="box"/>
        <c:axId val="2118601023"/>
        <c:axId val="2118606847"/>
        <c:axId val="0"/>
      </c:bar3DChart>
      <c:catAx>
        <c:axId val="21186010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18606847"/>
        <c:crosses val="autoZero"/>
        <c:auto val="1"/>
        <c:lblAlgn val="ctr"/>
        <c:lblOffset val="100"/>
        <c:noMultiLvlLbl val="0"/>
      </c:catAx>
      <c:valAx>
        <c:axId val="211860684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18601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graph!$A$1:$A$16</c:f>
              <c:strCache>
                <c:ptCount val="16"/>
                <c:pt idx="0">
                  <c:v>Standing</c:v>
                </c:pt>
                <c:pt idx="1">
                  <c:v>Descending stairs</c:v>
                </c:pt>
                <c:pt idx="2">
                  <c:v>Ascending stairs</c:v>
                </c:pt>
                <c:pt idx="3">
                  <c:v>Getting in/out of the car</c:v>
                </c:pt>
                <c:pt idx="4">
                  <c:v>Going shopping</c:v>
                </c:pt>
                <c:pt idx="5">
                  <c:v>Sitting</c:v>
                </c:pt>
                <c:pt idx="6">
                  <c:v>Bending to the floor</c:v>
                </c:pt>
                <c:pt idx="7">
                  <c:v>Rising from the bed</c:v>
                </c:pt>
                <c:pt idx="8">
                  <c:v>Getting in/out bath</c:v>
                </c:pt>
                <c:pt idx="9">
                  <c:v>Getting on/off toilet</c:v>
                </c:pt>
                <c:pt idx="10">
                  <c:v>Rising from sitting</c:v>
                </c:pt>
                <c:pt idx="11">
                  <c:v>Putting socks</c:v>
                </c:pt>
                <c:pt idx="12">
                  <c:v>Taking of socks</c:v>
                </c:pt>
                <c:pt idx="13">
                  <c:v>Performing light domestic duties</c:v>
                </c:pt>
                <c:pt idx="14">
                  <c:v>Lying in bed</c:v>
                </c:pt>
                <c:pt idx="15">
                  <c:v>Performing heavy domestic duties</c:v>
                </c:pt>
              </c:strCache>
            </c:strRef>
          </c:cat>
          <c:val>
            <c:numRef>
              <c:f>graph!$B$1:$B$16</c:f>
              <c:numCache>
                <c:formatCode>0.000</c:formatCode>
                <c:ptCount val="16"/>
                <c:pt idx="0">
                  <c:v>2</c:v>
                </c:pt>
                <c:pt idx="1">
                  <c:v>1.9</c:v>
                </c:pt>
                <c:pt idx="2">
                  <c:v>1.9</c:v>
                </c:pt>
                <c:pt idx="3">
                  <c:v>1.85</c:v>
                </c:pt>
                <c:pt idx="4">
                  <c:v>1.85</c:v>
                </c:pt>
                <c:pt idx="5">
                  <c:v>1.8</c:v>
                </c:pt>
                <c:pt idx="6">
                  <c:v>1.75</c:v>
                </c:pt>
                <c:pt idx="7">
                  <c:v>1.75</c:v>
                </c:pt>
                <c:pt idx="8">
                  <c:v>1.7</c:v>
                </c:pt>
                <c:pt idx="9">
                  <c:v>1.65</c:v>
                </c:pt>
                <c:pt idx="10">
                  <c:v>1.6</c:v>
                </c:pt>
                <c:pt idx="11">
                  <c:v>1.6</c:v>
                </c:pt>
                <c:pt idx="12">
                  <c:v>1.6</c:v>
                </c:pt>
                <c:pt idx="13">
                  <c:v>1.6</c:v>
                </c:pt>
                <c:pt idx="14">
                  <c:v>1.45</c:v>
                </c:pt>
                <c:pt idx="15">
                  <c:v>1.45</c:v>
                </c:pt>
              </c:numCache>
            </c:numRef>
          </c:val>
          <c:extLst>
            <c:ext xmlns:c16="http://schemas.microsoft.com/office/drawing/2014/chart" uri="{C3380CC4-5D6E-409C-BE32-E72D297353CC}">
              <c16:uniqueId val="{00000000-0882-4B5E-AACB-F688EE842E23}"/>
            </c:ext>
          </c:extLst>
        </c:ser>
        <c:dLbls>
          <c:showLegendKey val="0"/>
          <c:showVal val="0"/>
          <c:showCatName val="0"/>
          <c:showSerName val="0"/>
          <c:showPercent val="0"/>
          <c:showBubbleSize val="0"/>
        </c:dLbls>
        <c:gapWidth val="150"/>
        <c:shape val="box"/>
        <c:axId val="575451840"/>
        <c:axId val="575449344"/>
        <c:axId val="0"/>
      </c:bar3DChart>
      <c:catAx>
        <c:axId val="575451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449344"/>
        <c:crosses val="autoZero"/>
        <c:auto val="1"/>
        <c:lblAlgn val="ctr"/>
        <c:lblOffset val="100"/>
        <c:noMultiLvlLbl val="0"/>
      </c:catAx>
      <c:valAx>
        <c:axId val="575449344"/>
        <c:scaling>
          <c:orientation val="minMax"/>
        </c:scaling>
        <c:delete val="0"/>
        <c:axPos val="b"/>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45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graph!$U$1:$U$16</c:f>
              <c:strCache>
                <c:ptCount val="16"/>
                <c:pt idx="0">
                  <c:v>Standing</c:v>
                </c:pt>
                <c:pt idx="1">
                  <c:v>Rising from sitting</c:v>
                </c:pt>
                <c:pt idx="2">
                  <c:v>Bending to the floor</c:v>
                </c:pt>
                <c:pt idx="3">
                  <c:v>Going shopping</c:v>
                </c:pt>
                <c:pt idx="4">
                  <c:v>Performing heavy domestic duties</c:v>
                </c:pt>
                <c:pt idx="5">
                  <c:v>Performing light domestic duties</c:v>
                </c:pt>
                <c:pt idx="6">
                  <c:v>Sitting</c:v>
                </c:pt>
                <c:pt idx="7">
                  <c:v>Getting on/off toilet</c:v>
                </c:pt>
                <c:pt idx="8">
                  <c:v>Descending stairs</c:v>
                </c:pt>
                <c:pt idx="9">
                  <c:v>Ascending stairs</c:v>
                </c:pt>
                <c:pt idx="10">
                  <c:v>Getting in/out bath</c:v>
                </c:pt>
                <c:pt idx="11">
                  <c:v>Rising from the bed</c:v>
                </c:pt>
                <c:pt idx="12">
                  <c:v>Getting in/out of the car</c:v>
                </c:pt>
                <c:pt idx="13">
                  <c:v>Putting socks</c:v>
                </c:pt>
                <c:pt idx="14">
                  <c:v>Taking of socks</c:v>
                </c:pt>
                <c:pt idx="15">
                  <c:v>Lying in bed</c:v>
                </c:pt>
              </c:strCache>
            </c:strRef>
          </c:cat>
          <c:val>
            <c:numRef>
              <c:f>graph!$V$1:$V$16</c:f>
              <c:numCache>
                <c:formatCode>0.000</c:formatCode>
                <c:ptCount val="16"/>
                <c:pt idx="0">
                  <c:v>1.1000000000000001</c:v>
                </c:pt>
                <c:pt idx="1">
                  <c:v>0.95</c:v>
                </c:pt>
                <c:pt idx="2">
                  <c:v>0.8</c:v>
                </c:pt>
                <c:pt idx="3">
                  <c:v>0.79999999999999982</c:v>
                </c:pt>
                <c:pt idx="4">
                  <c:v>0.79999999999999982</c:v>
                </c:pt>
                <c:pt idx="5">
                  <c:v>0.75000000000000011</c:v>
                </c:pt>
                <c:pt idx="6">
                  <c:v>0.75</c:v>
                </c:pt>
                <c:pt idx="7">
                  <c:v>0.70000000000000018</c:v>
                </c:pt>
                <c:pt idx="8">
                  <c:v>0.65000000000000013</c:v>
                </c:pt>
                <c:pt idx="9">
                  <c:v>0.65000000000000013</c:v>
                </c:pt>
                <c:pt idx="10">
                  <c:v>0.65</c:v>
                </c:pt>
                <c:pt idx="11">
                  <c:v>0.45000000000000007</c:v>
                </c:pt>
                <c:pt idx="12">
                  <c:v>0.40000000000000013</c:v>
                </c:pt>
                <c:pt idx="13">
                  <c:v>0.35</c:v>
                </c:pt>
                <c:pt idx="14">
                  <c:v>0.35</c:v>
                </c:pt>
                <c:pt idx="15">
                  <c:v>0.10000000000000003</c:v>
                </c:pt>
              </c:numCache>
            </c:numRef>
          </c:val>
          <c:extLst>
            <c:ext xmlns:c16="http://schemas.microsoft.com/office/drawing/2014/chart" uri="{C3380CC4-5D6E-409C-BE32-E72D297353CC}">
              <c16:uniqueId val="{00000000-308F-4526-A54F-8F7D8A854DC6}"/>
            </c:ext>
          </c:extLst>
        </c:ser>
        <c:dLbls>
          <c:showLegendKey val="0"/>
          <c:showVal val="0"/>
          <c:showCatName val="0"/>
          <c:showSerName val="0"/>
          <c:showPercent val="0"/>
          <c:showBubbleSize val="0"/>
        </c:dLbls>
        <c:gapWidth val="150"/>
        <c:shape val="box"/>
        <c:axId val="775610928"/>
        <c:axId val="775611344"/>
        <c:axId val="0"/>
      </c:bar3DChart>
      <c:catAx>
        <c:axId val="775610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611344"/>
        <c:crosses val="autoZero"/>
        <c:auto val="1"/>
        <c:lblAlgn val="ctr"/>
        <c:lblOffset val="100"/>
        <c:noMultiLvlLbl val="0"/>
      </c:catAx>
      <c:valAx>
        <c:axId val="775611344"/>
        <c:scaling>
          <c:orientation val="minMax"/>
        </c:scaling>
        <c:delete val="0"/>
        <c:axPos val="b"/>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561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00B050"/>
            </a:solidFill>
          </c:spPr>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DF-451C-99DF-F91EFE473CA4}"/>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F9DF-451C-99DF-F91EFE473CA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DF-451C-99DF-F91EFE473CA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DF-451C-99DF-F91EFE473CA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Sheet1!$H$8:$H$9</c:f>
              <c:strCache>
                <c:ptCount val="2"/>
                <c:pt idx="0">
                  <c:v>Male</c:v>
                </c:pt>
                <c:pt idx="1">
                  <c:v>Female</c:v>
                </c:pt>
              </c:strCache>
            </c:strRef>
          </c:cat>
          <c:val>
            <c:numRef>
              <c:f>Sheet1!$I$8:$I$9</c:f>
              <c:numCache>
                <c:formatCode>###0.0%</c:formatCode>
                <c:ptCount val="2"/>
                <c:pt idx="0">
                  <c:v>0.27500000000000002</c:v>
                </c:pt>
                <c:pt idx="1">
                  <c:v>0.72499999999999998</c:v>
                </c:pt>
              </c:numCache>
            </c:numRef>
          </c:val>
          <c:extLst>
            <c:ext xmlns:c16="http://schemas.microsoft.com/office/drawing/2014/chart" uri="{C3380CC4-5D6E-409C-BE32-E72D297353CC}">
              <c16:uniqueId val="{00000004-F9DF-451C-99DF-F91EFE473C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extLst>
              <c:ext xmlns:c16="http://schemas.microsoft.com/office/drawing/2014/chart" uri="{C3380CC4-5D6E-409C-BE32-E72D297353CC}">
                <c16:uniqueId val="{00000001-8BBD-4B86-B7F6-7BFB870663EF}"/>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8BBD-4B86-B7F6-7BFB870663EF}"/>
              </c:ext>
            </c:extLst>
          </c:dPt>
          <c:dPt>
            <c:idx val="3"/>
            <c:invertIfNegative val="0"/>
            <c:bubble3D val="0"/>
            <c:spPr>
              <a:solidFill>
                <a:srgbClr val="FFFF00"/>
              </a:solidFill>
              <a:ln>
                <a:noFill/>
              </a:ln>
              <a:effectLst/>
              <a:sp3d/>
            </c:spPr>
            <c:extLst>
              <c:ext xmlns:c16="http://schemas.microsoft.com/office/drawing/2014/chart" uri="{C3380CC4-5D6E-409C-BE32-E72D297353CC}">
                <c16:uniqueId val="{00000005-8BBD-4B86-B7F6-7BFB870663EF}"/>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Sheet1!$H$10:$H$13</c:f>
              <c:strCache>
                <c:ptCount val="4"/>
                <c:pt idx="0">
                  <c:v>Underweight</c:v>
                </c:pt>
                <c:pt idx="1">
                  <c:v>Normal</c:v>
                </c:pt>
                <c:pt idx="2">
                  <c:v>Over weight</c:v>
                </c:pt>
                <c:pt idx="3">
                  <c:v>Obese</c:v>
                </c:pt>
              </c:strCache>
            </c:strRef>
          </c:cat>
          <c:val>
            <c:numRef>
              <c:f>Sheet1!$I$10:$I$13</c:f>
              <c:numCache>
                <c:formatCode>###0.0%</c:formatCode>
                <c:ptCount val="4"/>
                <c:pt idx="0">
                  <c:v>0</c:v>
                </c:pt>
                <c:pt idx="1">
                  <c:v>0.125</c:v>
                </c:pt>
                <c:pt idx="2">
                  <c:v>0.32500000000000001</c:v>
                </c:pt>
                <c:pt idx="3">
                  <c:v>0.55000000000000004</c:v>
                </c:pt>
              </c:numCache>
            </c:numRef>
          </c:val>
          <c:extLst>
            <c:ext xmlns:c16="http://schemas.microsoft.com/office/drawing/2014/chart" uri="{C3380CC4-5D6E-409C-BE32-E72D297353CC}">
              <c16:uniqueId val="{00000006-8BBD-4B86-B7F6-7BFB870663EF}"/>
            </c:ext>
          </c:extLst>
        </c:ser>
        <c:dLbls>
          <c:showLegendKey val="0"/>
          <c:showVal val="0"/>
          <c:showCatName val="0"/>
          <c:showSerName val="0"/>
          <c:showPercent val="0"/>
          <c:showBubbleSize val="0"/>
        </c:dLbls>
        <c:gapWidth val="150"/>
        <c:shape val="box"/>
        <c:axId val="2127511039"/>
        <c:axId val="2127516863"/>
        <c:axId val="0"/>
      </c:bar3DChart>
      <c:catAx>
        <c:axId val="21275110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27516863"/>
        <c:crosses val="autoZero"/>
        <c:auto val="1"/>
        <c:lblAlgn val="ctr"/>
        <c:lblOffset val="100"/>
        <c:noMultiLvlLbl val="0"/>
      </c:catAx>
      <c:valAx>
        <c:axId val="212751686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27511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extLst>
              <c:ext xmlns:c16="http://schemas.microsoft.com/office/drawing/2014/chart" uri="{C3380CC4-5D6E-409C-BE32-E72D297353CC}">
                <c16:uniqueId val="{00000001-E3F2-4A19-940E-DA09D341BDA9}"/>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E3F2-4A19-940E-DA09D341BDA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F2-4A19-940E-DA09D341BDA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Sheet1!$H$15:$H$17</c:f>
              <c:strCache>
                <c:ptCount val="3"/>
                <c:pt idx="0">
                  <c:v>Housewife</c:v>
                </c:pt>
                <c:pt idx="1">
                  <c:v>Teacher</c:v>
                </c:pt>
                <c:pt idx="2">
                  <c:v>Worker</c:v>
                </c:pt>
              </c:strCache>
            </c:strRef>
          </c:cat>
          <c:val>
            <c:numRef>
              <c:f>Sheet1!$I$15:$I$17</c:f>
              <c:numCache>
                <c:formatCode>###0.0%</c:formatCode>
                <c:ptCount val="3"/>
                <c:pt idx="0">
                  <c:v>0.65</c:v>
                </c:pt>
                <c:pt idx="1">
                  <c:v>0.2</c:v>
                </c:pt>
                <c:pt idx="2">
                  <c:v>0.15</c:v>
                </c:pt>
              </c:numCache>
            </c:numRef>
          </c:val>
          <c:extLst>
            <c:ext xmlns:c16="http://schemas.microsoft.com/office/drawing/2014/chart" uri="{C3380CC4-5D6E-409C-BE32-E72D297353CC}">
              <c16:uniqueId val="{00000005-E3F2-4A19-940E-DA09D341BDA9}"/>
            </c:ext>
          </c:extLst>
        </c:ser>
        <c:dLbls>
          <c:showLegendKey val="0"/>
          <c:showVal val="0"/>
          <c:showCatName val="0"/>
          <c:showSerName val="0"/>
          <c:showPercent val="0"/>
          <c:showBubbleSize val="0"/>
        </c:dLbls>
        <c:gapWidth val="150"/>
        <c:shape val="box"/>
        <c:axId val="2127504799"/>
        <c:axId val="2127513535"/>
        <c:axId val="0"/>
      </c:bar3DChart>
      <c:catAx>
        <c:axId val="21275047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27513535"/>
        <c:crosses val="autoZero"/>
        <c:auto val="1"/>
        <c:lblAlgn val="ctr"/>
        <c:lblOffset val="100"/>
        <c:noMultiLvlLbl val="0"/>
      </c:catAx>
      <c:valAx>
        <c:axId val="2127513535"/>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27504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extLst>
              <c:ext xmlns:c16="http://schemas.microsoft.com/office/drawing/2014/chart" uri="{C3380CC4-5D6E-409C-BE32-E72D297353CC}">
                <c16:uniqueId val="{00000001-D14F-4718-8358-B640B3E8F527}"/>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D14F-4718-8358-B640B3E8F527}"/>
              </c:ext>
            </c:extLst>
          </c:dPt>
          <c:dPt>
            <c:idx val="3"/>
            <c:invertIfNegative val="0"/>
            <c:bubble3D val="0"/>
            <c:spPr>
              <a:solidFill>
                <a:srgbClr val="FFFF00"/>
              </a:solidFill>
              <a:ln>
                <a:noFill/>
              </a:ln>
              <a:effectLst/>
              <a:sp3d/>
            </c:spPr>
            <c:extLst>
              <c:ext xmlns:c16="http://schemas.microsoft.com/office/drawing/2014/chart" uri="{C3380CC4-5D6E-409C-BE32-E72D297353CC}">
                <c16:uniqueId val="{00000005-D14F-4718-8358-B640B3E8F527}"/>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Sheet1!$H$18:$H$21</c:f>
              <c:strCache>
                <c:ptCount val="4"/>
                <c:pt idx="0">
                  <c:v>Minor</c:v>
                </c:pt>
                <c:pt idx="1">
                  <c:v>Mild</c:v>
                </c:pt>
                <c:pt idx="2">
                  <c:v>Moderate</c:v>
                </c:pt>
                <c:pt idx="3">
                  <c:v>Severe</c:v>
                </c:pt>
              </c:strCache>
            </c:strRef>
          </c:cat>
          <c:val>
            <c:numRef>
              <c:f>Sheet1!$I$18:$I$21</c:f>
              <c:numCache>
                <c:formatCode>###0.0%</c:formatCode>
                <c:ptCount val="4"/>
                <c:pt idx="0">
                  <c:v>0</c:v>
                </c:pt>
                <c:pt idx="1">
                  <c:v>0.47499999999999998</c:v>
                </c:pt>
                <c:pt idx="2">
                  <c:v>0.42499999999999999</c:v>
                </c:pt>
                <c:pt idx="3">
                  <c:v>0.1</c:v>
                </c:pt>
              </c:numCache>
            </c:numRef>
          </c:val>
          <c:extLst>
            <c:ext xmlns:c16="http://schemas.microsoft.com/office/drawing/2014/chart" uri="{C3380CC4-5D6E-409C-BE32-E72D297353CC}">
              <c16:uniqueId val="{00000006-D14F-4718-8358-B640B3E8F527}"/>
            </c:ext>
          </c:extLst>
        </c:ser>
        <c:dLbls>
          <c:showLegendKey val="0"/>
          <c:showVal val="0"/>
          <c:showCatName val="0"/>
          <c:showSerName val="0"/>
          <c:showPercent val="0"/>
          <c:showBubbleSize val="0"/>
        </c:dLbls>
        <c:gapWidth val="150"/>
        <c:shape val="box"/>
        <c:axId val="2127888079"/>
        <c:axId val="2127896399"/>
        <c:axId val="0"/>
      </c:bar3DChart>
      <c:catAx>
        <c:axId val="2127888079"/>
        <c:scaling>
          <c:orientation val="minMax"/>
        </c:scaling>
        <c:delete val="1"/>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grade</a:t>
                </a:r>
                <a:r>
                  <a:rPr lang="en-US" baseline="0"/>
                  <a:t> 1       grade 2            grade 3        grade 4</a:t>
                </a:r>
                <a:endParaRPr lang="en-US"/>
              </a:p>
            </c:rich>
          </c:tx>
          <c:layout>
            <c:manualLayout>
              <c:xMode val="edge"/>
              <c:yMode val="edge"/>
              <c:x val="0.27515288713910757"/>
              <c:y val="0.8559973753280839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127896399"/>
        <c:crosses val="autoZero"/>
        <c:auto val="1"/>
        <c:lblAlgn val="ctr"/>
        <c:lblOffset val="100"/>
        <c:noMultiLvlLbl val="0"/>
      </c:catAx>
      <c:valAx>
        <c:axId val="2127896399"/>
        <c:scaling>
          <c:orientation val="minMax"/>
        </c:scaling>
        <c:delete val="0"/>
        <c:axPos val="l"/>
        <c:title>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127888079"/>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FFFF00"/>
              </a:solidFill>
              <a:ln w="19050">
                <a:solidFill>
                  <a:schemeClr val="lt1"/>
                </a:solidFill>
              </a:ln>
              <a:effectLst/>
            </c:spPr>
            <c:extLst>
              <c:ext xmlns:c16="http://schemas.microsoft.com/office/drawing/2014/chart" uri="{C3380CC4-5D6E-409C-BE32-E72D297353CC}">
                <c16:uniqueId val="{00000001-1387-4D21-85BB-F70AA7852FB0}"/>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1387-4D21-85BB-F70AA7852FB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87-4D21-85BB-F70AA7852FB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87-4D21-85BB-F70AA7852FB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Sheet1!$H$22:$H$23</c:f>
              <c:strCache>
                <c:ptCount val="2"/>
                <c:pt idx="0">
                  <c:v>varus</c:v>
                </c:pt>
                <c:pt idx="1">
                  <c:v>valgus</c:v>
                </c:pt>
              </c:strCache>
            </c:strRef>
          </c:cat>
          <c:val>
            <c:numRef>
              <c:f>Sheet1!$I$22:$I$23</c:f>
              <c:numCache>
                <c:formatCode>###0.0%</c:formatCode>
                <c:ptCount val="2"/>
                <c:pt idx="0">
                  <c:v>0.95</c:v>
                </c:pt>
                <c:pt idx="1">
                  <c:v>0.05</c:v>
                </c:pt>
              </c:numCache>
            </c:numRef>
          </c:val>
          <c:extLst>
            <c:ext xmlns:c16="http://schemas.microsoft.com/office/drawing/2014/chart" uri="{C3380CC4-5D6E-409C-BE32-E72D297353CC}">
              <c16:uniqueId val="{00000004-1387-4D21-85BB-F70AA7852FB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extLst>
              <c:ext xmlns:c16="http://schemas.microsoft.com/office/drawing/2014/chart" uri="{C3380CC4-5D6E-409C-BE32-E72D297353CC}">
                <c16:uniqueId val="{00000001-16F1-4079-B4CD-9F6066630925}"/>
              </c:ext>
            </c:extLst>
          </c:dPt>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Sheet3!$A$2:$A$3</c:f>
              <c:strCache>
                <c:ptCount val="2"/>
                <c:pt idx="0">
                  <c:v>Moderate</c:v>
                </c:pt>
                <c:pt idx="1">
                  <c:v>Severe</c:v>
                </c:pt>
              </c:strCache>
            </c:strRef>
          </c:cat>
          <c:val>
            <c:numRef>
              <c:f>Sheet3!$B$2:$B$3</c:f>
              <c:numCache>
                <c:formatCode>General</c:formatCode>
                <c:ptCount val="2"/>
                <c:pt idx="0">
                  <c:v>20</c:v>
                </c:pt>
                <c:pt idx="1">
                  <c:v>80</c:v>
                </c:pt>
              </c:numCache>
            </c:numRef>
          </c:val>
          <c:extLst>
            <c:ext xmlns:c16="http://schemas.microsoft.com/office/drawing/2014/chart" uri="{C3380CC4-5D6E-409C-BE32-E72D297353CC}">
              <c16:uniqueId val="{00000002-16F1-4079-B4CD-9F6066630925}"/>
            </c:ext>
          </c:extLst>
        </c:ser>
        <c:dLbls>
          <c:showLegendKey val="0"/>
          <c:showVal val="0"/>
          <c:showCatName val="0"/>
          <c:showSerName val="0"/>
          <c:showPercent val="0"/>
          <c:showBubbleSize val="0"/>
        </c:dLbls>
        <c:gapWidth val="150"/>
        <c:shape val="box"/>
        <c:axId val="2118606431"/>
        <c:axId val="2118602687"/>
        <c:axId val="0"/>
      </c:bar3DChart>
      <c:catAx>
        <c:axId val="21186064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8602687"/>
        <c:crosses val="autoZero"/>
        <c:auto val="1"/>
        <c:lblAlgn val="ctr"/>
        <c:lblOffset val="100"/>
        <c:noMultiLvlLbl val="0"/>
      </c:catAx>
      <c:valAx>
        <c:axId val="21186026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8606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extLst>
              <c:ext xmlns:c16="http://schemas.microsoft.com/office/drawing/2014/chart" uri="{C3380CC4-5D6E-409C-BE32-E72D297353CC}">
                <c16:uniqueId val="{00000001-A4F9-4E26-87F3-7521271E95BD}"/>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A4F9-4E26-87F3-7521271E95BD}"/>
              </c:ext>
            </c:extLst>
          </c:dPt>
          <c:dPt>
            <c:idx val="3"/>
            <c:invertIfNegative val="0"/>
            <c:bubble3D val="0"/>
            <c:spPr>
              <a:solidFill>
                <a:srgbClr val="FFFF00"/>
              </a:solidFill>
              <a:ln>
                <a:noFill/>
              </a:ln>
              <a:effectLst/>
              <a:sp3d/>
            </c:spPr>
            <c:extLst>
              <c:ext xmlns:c16="http://schemas.microsoft.com/office/drawing/2014/chart" uri="{C3380CC4-5D6E-409C-BE32-E72D297353CC}">
                <c16:uniqueId val="{00000005-A4F9-4E26-87F3-7521271E95BD}"/>
              </c:ext>
            </c:extLst>
          </c:dPt>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Sheet3!$I$2:$I$5</c:f>
              <c:strCache>
                <c:ptCount val="4"/>
                <c:pt idx="0">
                  <c:v>None</c:v>
                </c:pt>
                <c:pt idx="1">
                  <c:v>Mild</c:v>
                </c:pt>
                <c:pt idx="2">
                  <c:v>Moderate</c:v>
                </c:pt>
                <c:pt idx="3">
                  <c:v>Severe</c:v>
                </c:pt>
              </c:strCache>
            </c:strRef>
          </c:cat>
          <c:val>
            <c:numRef>
              <c:f>Sheet3!$J$2:$J$5</c:f>
              <c:numCache>
                <c:formatCode>General</c:formatCode>
                <c:ptCount val="4"/>
                <c:pt idx="0">
                  <c:v>7.5</c:v>
                </c:pt>
                <c:pt idx="1">
                  <c:v>55</c:v>
                </c:pt>
                <c:pt idx="2">
                  <c:v>22.5</c:v>
                </c:pt>
                <c:pt idx="3">
                  <c:v>15</c:v>
                </c:pt>
              </c:numCache>
            </c:numRef>
          </c:val>
          <c:extLst>
            <c:ext xmlns:c16="http://schemas.microsoft.com/office/drawing/2014/chart" uri="{C3380CC4-5D6E-409C-BE32-E72D297353CC}">
              <c16:uniqueId val="{00000006-A4F9-4E26-87F3-7521271E95BD}"/>
            </c:ext>
          </c:extLst>
        </c:ser>
        <c:dLbls>
          <c:showLegendKey val="0"/>
          <c:showVal val="0"/>
          <c:showCatName val="0"/>
          <c:showSerName val="0"/>
          <c:showPercent val="0"/>
          <c:showBubbleSize val="0"/>
        </c:dLbls>
        <c:gapWidth val="150"/>
        <c:shape val="box"/>
        <c:axId val="98442751"/>
        <c:axId val="98451487"/>
        <c:axId val="0"/>
      </c:bar3DChart>
      <c:catAx>
        <c:axId val="984427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51487"/>
        <c:crosses val="autoZero"/>
        <c:auto val="1"/>
        <c:lblAlgn val="ctr"/>
        <c:lblOffset val="100"/>
        <c:noMultiLvlLbl val="0"/>
      </c:catAx>
      <c:valAx>
        <c:axId val="984514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42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97681539807527"/>
          <c:y val="7.4490740740740746E-2"/>
          <c:w val="0.80876727909011381"/>
          <c:h val="0.60659011373578298"/>
        </c:manualLayout>
      </c:layout>
      <c:bar3DChart>
        <c:barDir val="col"/>
        <c:grouping val="clustered"/>
        <c:varyColors val="0"/>
        <c:ser>
          <c:idx val="0"/>
          <c:order val="0"/>
          <c:tx>
            <c:strRef>
              <c:f>Sheet9!$J$3</c:f>
              <c:strCache>
                <c:ptCount val="1"/>
                <c:pt idx="0">
                  <c:v>Study</c:v>
                </c:pt>
              </c:strCache>
            </c:strRef>
          </c:tx>
          <c:spPr>
            <a:solidFill>
              <a:schemeClr val="accent1"/>
            </a:solidFill>
            <a:ln>
              <a:noFill/>
            </a:ln>
            <a:effectLst/>
            <a:sp3d/>
          </c:spPr>
          <c:invertIfNegative val="0"/>
          <c:dLbls>
            <c:dLbl>
              <c:idx val="0"/>
              <c:layout>
                <c:manualLayout>
                  <c:x val="-1.66666666666666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A1-44EF-80A4-BAEE939FE746}"/>
                </c:ext>
              </c:extLst>
            </c:dLbl>
            <c:dLbl>
              <c:idx val="4"/>
              <c:layout>
                <c:manualLayout>
                  <c:x val="-1.66666666666667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A1-44EF-80A4-BAEE939FE746}"/>
                </c:ext>
              </c:extLst>
            </c:dLbl>
            <c:dLbl>
              <c:idx val="5"/>
              <c:layout>
                <c:manualLayout>
                  <c:x val="-8.3333333333334356E-3"/>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A1-44EF-80A4-BAEE939FE74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Sheet9!$H$4:$I$9</c:f>
              <c:multiLvlStrCache>
                <c:ptCount val="6"/>
                <c:lvl>
                  <c:pt idx="0">
                    <c:v>Moderate</c:v>
                  </c:pt>
                  <c:pt idx="1">
                    <c:v>Severe</c:v>
                  </c:pt>
                  <c:pt idx="2">
                    <c:v>None</c:v>
                  </c:pt>
                  <c:pt idx="3">
                    <c:v>Mild</c:v>
                  </c:pt>
                  <c:pt idx="4">
                    <c:v>Moderate</c:v>
                  </c:pt>
                  <c:pt idx="5">
                    <c:v>Severe</c:v>
                  </c:pt>
                </c:lvl>
                <c:lvl>
                  <c:pt idx="0">
                    <c:v>Pre pain score</c:v>
                  </c:pt>
                  <c:pt idx="2">
                    <c:v>Post pain score</c:v>
                  </c:pt>
                </c:lvl>
              </c:multiLvlStrCache>
            </c:multiLvlStrRef>
          </c:cat>
          <c:val>
            <c:numRef>
              <c:f>Sheet9!$J$4:$J$9</c:f>
              <c:numCache>
                <c:formatCode>###0.0%</c:formatCode>
                <c:ptCount val="6"/>
                <c:pt idx="0">
                  <c:v>0.05</c:v>
                </c:pt>
                <c:pt idx="1">
                  <c:v>0.45</c:v>
                </c:pt>
                <c:pt idx="2">
                  <c:v>0.05</c:v>
                </c:pt>
                <c:pt idx="3">
                  <c:v>0.35</c:v>
                </c:pt>
                <c:pt idx="4">
                  <c:v>0.1</c:v>
                </c:pt>
                <c:pt idx="5">
                  <c:v>0</c:v>
                </c:pt>
              </c:numCache>
            </c:numRef>
          </c:val>
          <c:extLst>
            <c:ext xmlns:c16="http://schemas.microsoft.com/office/drawing/2014/chart" uri="{C3380CC4-5D6E-409C-BE32-E72D297353CC}">
              <c16:uniqueId val="{00000003-A6A1-44EF-80A4-BAEE939FE746}"/>
            </c:ext>
          </c:extLst>
        </c:ser>
        <c:ser>
          <c:idx val="1"/>
          <c:order val="1"/>
          <c:tx>
            <c:strRef>
              <c:f>Sheet9!$K$3</c:f>
              <c:strCache>
                <c:ptCount val="1"/>
                <c:pt idx="0">
                  <c:v>Control</c:v>
                </c:pt>
              </c:strCache>
            </c:strRef>
          </c:tx>
          <c:spPr>
            <a:solidFill>
              <a:srgbClr val="FF0000"/>
            </a:solidFill>
            <a:ln>
              <a:noFill/>
            </a:ln>
            <a:effectLst/>
            <a:sp3d/>
          </c:spPr>
          <c:invertIfNegative val="0"/>
          <c:dLbls>
            <c:dLbl>
              <c:idx val="1"/>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A1-44EF-80A4-BAEE939FE746}"/>
                </c:ext>
              </c:extLst>
            </c:dLbl>
            <c:dLbl>
              <c:idx val="2"/>
              <c:layout>
                <c:manualLayout>
                  <c:x val="3.6111111111111108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1-44EF-80A4-BAEE939FE746}"/>
                </c:ext>
              </c:extLst>
            </c:dLbl>
            <c:dLbl>
              <c:idx val="3"/>
              <c:layout>
                <c:manualLayout>
                  <c:x val="3.8888888888888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A1-44EF-80A4-BAEE939FE746}"/>
                </c:ext>
              </c:extLst>
            </c:dLbl>
            <c:dLbl>
              <c:idx val="4"/>
              <c:layout>
                <c:manualLayout>
                  <c:x val="2.49999999999998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1-44EF-80A4-BAEE939FE74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Sheet9!$H$4:$I$9</c:f>
              <c:multiLvlStrCache>
                <c:ptCount val="6"/>
                <c:lvl>
                  <c:pt idx="0">
                    <c:v>Moderate</c:v>
                  </c:pt>
                  <c:pt idx="1">
                    <c:v>Severe</c:v>
                  </c:pt>
                  <c:pt idx="2">
                    <c:v>None</c:v>
                  </c:pt>
                  <c:pt idx="3">
                    <c:v>Mild</c:v>
                  </c:pt>
                  <c:pt idx="4">
                    <c:v>Moderate</c:v>
                  </c:pt>
                  <c:pt idx="5">
                    <c:v>Severe</c:v>
                  </c:pt>
                </c:lvl>
                <c:lvl>
                  <c:pt idx="0">
                    <c:v>Pre pain score</c:v>
                  </c:pt>
                  <c:pt idx="2">
                    <c:v>Post pain score</c:v>
                  </c:pt>
                </c:lvl>
              </c:multiLvlStrCache>
            </c:multiLvlStrRef>
          </c:cat>
          <c:val>
            <c:numRef>
              <c:f>Sheet9!$K$4:$K$9</c:f>
              <c:numCache>
                <c:formatCode>###0.0%</c:formatCode>
                <c:ptCount val="6"/>
                <c:pt idx="0">
                  <c:v>0.15</c:v>
                </c:pt>
                <c:pt idx="1">
                  <c:v>0.35</c:v>
                </c:pt>
                <c:pt idx="2">
                  <c:v>2.5000000000000001E-2</c:v>
                </c:pt>
                <c:pt idx="3">
                  <c:v>0.2</c:v>
                </c:pt>
                <c:pt idx="4">
                  <c:v>0.125</c:v>
                </c:pt>
                <c:pt idx="5">
                  <c:v>0.15</c:v>
                </c:pt>
              </c:numCache>
            </c:numRef>
          </c:val>
          <c:extLst>
            <c:ext xmlns:c16="http://schemas.microsoft.com/office/drawing/2014/chart" uri="{C3380CC4-5D6E-409C-BE32-E72D297353CC}">
              <c16:uniqueId val="{00000008-A6A1-44EF-80A4-BAEE939FE746}"/>
            </c:ext>
          </c:extLst>
        </c:ser>
        <c:dLbls>
          <c:showLegendKey val="0"/>
          <c:showVal val="0"/>
          <c:showCatName val="0"/>
          <c:showSerName val="0"/>
          <c:showPercent val="0"/>
          <c:showBubbleSize val="0"/>
        </c:dLbls>
        <c:gapWidth val="150"/>
        <c:shape val="box"/>
        <c:axId val="98450239"/>
        <c:axId val="98449407"/>
        <c:axId val="0"/>
      </c:bar3DChart>
      <c:catAx>
        <c:axId val="984502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49407"/>
        <c:crosses val="autoZero"/>
        <c:auto val="1"/>
        <c:lblAlgn val="ctr"/>
        <c:lblOffset val="100"/>
        <c:noMultiLvlLbl val="0"/>
      </c:catAx>
      <c:valAx>
        <c:axId val="9844940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8450239"/>
        <c:crosses val="autoZero"/>
        <c:crossBetween val="between"/>
      </c:valAx>
      <c:spPr>
        <a:noFill/>
        <a:ln>
          <a:noFill/>
        </a:ln>
        <a:effectLst/>
      </c:spPr>
    </c:plotArea>
    <c:legend>
      <c:legendPos val="r"/>
      <c:layout>
        <c:manualLayout>
          <c:xMode val="edge"/>
          <c:yMode val="edge"/>
          <c:x val="0.84285520559930016"/>
          <c:y val="7.3805045202683009E-2"/>
          <c:w val="0.14047812773403326"/>
          <c:h val="0.167204724409448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73</Pages>
  <Words>26305</Words>
  <Characters>149944</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dc:creator>
  <cp:keywords/>
  <dc:description/>
  <cp:lastModifiedBy>muham</cp:lastModifiedBy>
  <cp:revision>4</cp:revision>
  <dcterms:created xsi:type="dcterms:W3CDTF">2024-07-17T23:03:00Z</dcterms:created>
  <dcterms:modified xsi:type="dcterms:W3CDTF">2024-07-17T23:14:00Z</dcterms:modified>
</cp:coreProperties>
</file>